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F3D55A">
      <w:pPr>
        <w:jc w:val="center"/>
        <w:rPr>
          <w:rFonts w:hint="eastAsia"/>
          <w:b/>
          <w:sz w:val="36"/>
        </w:rPr>
      </w:pPr>
      <w:r>
        <w:rPr>
          <w:rFonts w:hint="eastAsia"/>
          <w:b/>
          <w:sz w:val="36"/>
        </w:rPr>
        <w:t>《</w:t>
      </w:r>
      <w:r>
        <w:rPr>
          <w:rFonts w:hint="eastAsia"/>
          <w:b/>
          <w:sz w:val="36"/>
          <w:lang w:val="en-US" w:eastAsia="zh-CN"/>
        </w:rPr>
        <w:t>海洋核动力平台安全壳抑压系统设计准则</w:t>
      </w:r>
      <w:r>
        <w:rPr>
          <w:rFonts w:hint="eastAsia"/>
          <w:b/>
          <w:sz w:val="36"/>
        </w:rPr>
        <w:t>》</w:t>
      </w:r>
    </w:p>
    <w:p w14:paraId="638B5BCA">
      <w:pPr>
        <w:jc w:val="center"/>
        <w:rPr>
          <w:b/>
          <w:sz w:val="36"/>
        </w:rPr>
      </w:pPr>
      <w:r>
        <w:rPr>
          <w:rFonts w:hint="eastAsia"/>
          <w:b/>
          <w:sz w:val="36"/>
        </w:rPr>
        <w:t>编制说明</w:t>
      </w:r>
    </w:p>
    <w:p w14:paraId="51D3AF4B">
      <w:pPr>
        <w:jc w:val="center"/>
        <w:rPr>
          <w:b/>
          <w:sz w:val="36"/>
        </w:rPr>
      </w:pPr>
      <w:r>
        <w:rPr>
          <w:rFonts w:hint="eastAsia"/>
          <w:b/>
          <w:sz w:val="36"/>
        </w:rPr>
        <w:t>（征求意见稿）</w:t>
      </w:r>
    </w:p>
    <w:p w14:paraId="05399BEB">
      <w:pPr>
        <w:outlineLvl w:val="0"/>
        <w:rPr>
          <w:b/>
          <w:sz w:val="28"/>
          <w:szCs w:val="28"/>
        </w:rPr>
      </w:pPr>
      <w:r>
        <w:rPr>
          <w:rFonts w:hint="eastAsia"/>
          <w:b/>
          <w:sz w:val="28"/>
          <w:szCs w:val="28"/>
        </w:rPr>
        <w:t>一、工作简况</w:t>
      </w:r>
    </w:p>
    <w:p w14:paraId="3501E974">
      <w:pPr>
        <w:rPr>
          <w:b/>
        </w:rPr>
      </w:pPr>
      <w:r>
        <w:rPr>
          <w:rFonts w:hint="eastAsia"/>
          <w:b/>
        </w:rPr>
        <w:t>1、任务来源</w:t>
      </w:r>
    </w:p>
    <w:p w14:paraId="0508390D">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rPr>
      </w:pPr>
      <w:r>
        <w:rPr>
          <w:rFonts w:hint="eastAsia"/>
          <w:highlight w:val="none"/>
        </w:rPr>
        <w:t xml:space="preserve">本项目源自中国核能行业协会团体标准制定计划（中核协标函〔2025〕471 号），具体依据《关于 </w:t>
      </w:r>
      <w:r>
        <w:rPr>
          <w:rFonts w:hint="eastAsia"/>
          <w:highlight w:val="none"/>
          <w:lang w:eastAsia="zh-CN"/>
        </w:rPr>
        <w:t>〈</w:t>
      </w:r>
      <w:r>
        <w:rPr>
          <w:rFonts w:hint="eastAsia"/>
          <w:highlight w:val="none"/>
        </w:rPr>
        <w:t>海洋核动力平台安全壳抑压系统设计准则</w:t>
      </w:r>
      <w:r>
        <w:rPr>
          <w:rFonts w:hint="eastAsia"/>
          <w:highlight w:val="none"/>
          <w:lang w:eastAsia="zh-CN"/>
        </w:rPr>
        <w:t>〉</w:t>
      </w:r>
      <w:r>
        <w:rPr>
          <w:rFonts w:hint="eastAsia"/>
          <w:highlight w:val="none"/>
        </w:rPr>
        <w:t xml:space="preserve"> 等 12 项拟立项核协团标的公示》。根据通知要求，《海洋核动力平台安全壳抑压系统设计准则》由中广核研究院有限公司牵头编制，参编单位包括中国舰船研究设计中心、中国核电工程有限公司、上海核工程研究设计院股份有限公司、中广核工程有限公司、华龙国际核电技术有限公司、上海交通大学、西安交通大学、哈尔滨工业大学、哈尔滨工程大学。</w:t>
      </w:r>
    </w:p>
    <w:p w14:paraId="0686E672">
      <w:pPr>
        <w:rPr>
          <w:b/>
        </w:rPr>
      </w:pPr>
      <w:r>
        <w:rPr>
          <w:rFonts w:hint="eastAsia"/>
          <w:b/>
        </w:rPr>
        <w:t>2、主要工作过程</w:t>
      </w:r>
    </w:p>
    <w:p w14:paraId="16C09E34">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rPr>
      </w:pPr>
      <w:r>
        <w:rPr>
          <w:rFonts w:hint="eastAsia"/>
        </w:rPr>
        <w:t>接到本标准编制任务后，中广核研究院有限公司立即联合上述参编单位成立标准编制工作组，按 “征求意见稿阶段、送审稿阶段、报批稿阶段” 三个阶段对标准编制工作进行了任务分工与总体策划，目前已完成征求意见稿阶段的全部工作。</w:t>
      </w:r>
    </w:p>
    <w:p w14:paraId="34C44618">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rPr>
      </w:pPr>
      <w:r>
        <w:rPr>
          <w:rFonts w:hint="eastAsia"/>
        </w:rPr>
        <w:t>在征求意见稿编制阶段，工作组结合国内海洋核动力平台的定位及 “堆船结合” 的设计特点，以 GB/T 13284.1-2008《核电厂安全系统 第 1 部分：设计准则》、GB/T 13626-2021《单一故障准则应用于核电厂安全系统》、GB/T 5204-2021《核电厂安全系统定期试验与监测》为主要参考依据，开展了国外安全壳抑压相关技术的专项调研；同时融合国内核电行业的技术积累与船舶行业的实践经验，最终确定了本标准的总体框架与核心内容。</w:t>
      </w:r>
    </w:p>
    <w:p w14:paraId="1EBF814A">
      <w:pPr>
        <w:keepNext w:val="0"/>
        <w:keepLines w:val="0"/>
        <w:pageBreakBefore w:val="0"/>
        <w:widowControl/>
        <w:kinsoku/>
        <w:wordWrap/>
        <w:overflowPunct/>
        <w:topLinePunct w:val="0"/>
        <w:autoSpaceDE/>
        <w:autoSpaceDN/>
        <w:bidi w:val="0"/>
        <w:adjustRightInd/>
        <w:snapToGrid/>
        <w:textAlignment w:val="auto"/>
        <w:rPr>
          <w:b/>
        </w:rPr>
      </w:pPr>
      <w:r>
        <w:rPr>
          <w:rFonts w:hint="eastAsia"/>
          <w:b/>
        </w:rPr>
        <w:t>3、</w:t>
      </w:r>
      <w:r>
        <w:rPr>
          <w:b/>
        </w:rPr>
        <w:t>主要参加单位和工作组成员及其所</w:t>
      </w:r>
      <w:r>
        <w:rPr>
          <w:rFonts w:hint="eastAsia"/>
          <w:b/>
          <w:lang w:eastAsia="zh-CN"/>
        </w:rPr>
        <w:t>做</w:t>
      </w:r>
      <w:r>
        <w:rPr>
          <w:b/>
        </w:rPr>
        <w:t>的工作等</w:t>
      </w:r>
    </w:p>
    <w:p w14:paraId="0A451087">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highlight w:val="none"/>
        </w:rPr>
      </w:pPr>
      <w:r>
        <w:rPr>
          <w:rFonts w:hint="eastAsia"/>
          <w:highlight w:val="none"/>
        </w:rPr>
        <w:t>中广核研究院有限公司作为牵头编制单位，负责标准文本的起草工作；各参编单位结合自身实践经验，对标准内容提出反馈意见并协助完善。标准编制组成员及具体分工详见表 1。</w:t>
      </w:r>
    </w:p>
    <w:p w14:paraId="586AD6FC">
      <w:pPr>
        <w:jc w:val="center"/>
        <w:rPr>
          <w:rFonts w:hint="eastAsia" w:eastAsia="宋体" w:cs="Times New Roman"/>
          <w:highlight w:val="none"/>
          <w:lang w:eastAsia="zh-CN"/>
        </w:rPr>
      </w:pPr>
      <w:r>
        <w:rPr>
          <w:rFonts w:cs="Times New Roman"/>
          <w:highlight w:val="none"/>
        </w:rPr>
        <w:t>表1</w:t>
      </w:r>
      <w:r>
        <w:rPr>
          <w:rFonts w:hint="eastAsia" w:cs="Times New Roman"/>
          <w:highlight w:val="none"/>
          <w:lang w:val="en-US" w:eastAsia="zh-CN"/>
        </w:rPr>
        <w:t xml:space="preserve"> </w:t>
      </w:r>
      <w:r>
        <w:rPr>
          <w:rFonts w:cs="Times New Roman"/>
          <w:highlight w:val="none"/>
        </w:rPr>
        <w:t>标准编制组成员名单</w:t>
      </w:r>
    </w:p>
    <w:tbl>
      <w:tblPr>
        <w:tblStyle w:val="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9"/>
        <w:gridCol w:w="1492"/>
        <w:gridCol w:w="4298"/>
        <w:gridCol w:w="1813"/>
      </w:tblGrid>
      <w:tr w14:paraId="12740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9" w:type="pct"/>
            <w:vAlign w:val="center"/>
          </w:tcPr>
          <w:p w14:paraId="273518DF">
            <w:pPr>
              <w:spacing w:line="240" w:lineRule="auto"/>
              <w:jc w:val="center"/>
              <w:rPr>
                <w:rFonts w:cs="Times New Roman"/>
                <w:b/>
              </w:rPr>
            </w:pPr>
            <w:r>
              <w:rPr>
                <w:rFonts w:cs="Times New Roman"/>
                <w:b/>
              </w:rPr>
              <w:t>序号</w:t>
            </w:r>
          </w:p>
        </w:tc>
        <w:tc>
          <w:tcPr>
            <w:tcW w:w="875" w:type="pct"/>
            <w:vAlign w:val="center"/>
          </w:tcPr>
          <w:p w14:paraId="7D5E9E7C">
            <w:pPr>
              <w:spacing w:line="240" w:lineRule="auto"/>
              <w:jc w:val="center"/>
              <w:rPr>
                <w:rFonts w:cs="Times New Roman"/>
                <w:b/>
              </w:rPr>
            </w:pPr>
            <w:r>
              <w:rPr>
                <w:rFonts w:cs="Times New Roman"/>
                <w:b/>
              </w:rPr>
              <w:t>姓名</w:t>
            </w:r>
          </w:p>
        </w:tc>
        <w:tc>
          <w:tcPr>
            <w:tcW w:w="2521" w:type="pct"/>
            <w:vAlign w:val="center"/>
          </w:tcPr>
          <w:p w14:paraId="6308D405">
            <w:pPr>
              <w:spacing w:line="240" w:lineRule="auto"/>
              <w:jc w:val="center"/>
              <w:rPr>
                <w:rFonts w:cs="Times New Roman"/>
                <w:b/>
              </w:rPr>
            </w:pPr>
            <w:r>
              <w:rPr>
                <w:rFonts w:cs="Times New Roman"/>
                <w:b/>
              </w:rPr>
              <w:t>单位</w:t>
            </w:r>
          </w:p>
        </w:tc>
        <w:tc>
          <w:tcPr>
            <w:tcW w:w="1063" w:type="pct"/>
            <w:vAlign w:val="center"/>
          </w:tcPr>
          <w:p w14:paraId="63737262">
            <w:pPr>
              <w:spacing w:line="240" w:lineRule="auto"/>
              <w:jc w:val="center"/>
              <w:rPr>
                <w:rFonts w:hint="default" w:eastAsia="宋体" w:cs="Times New Roman"/>
                <w:b/>
                <w:lang w:val="en-US" w:eastAsia="zh-CN"/>
              </w:rPr>
            </w:pPr>
            <w:r>
              <w:rPr>
                <w:rFonts w:hint="eastAsia" w:cs="Times New Roman"/>
                <w:b/>
                <w:lang w:val="en-US" w:eastAsia="zh-CN"/>
              </w:rPr>
              <w:t>任务分工</w:t>
            </w:r>
          </w:p>
        </w:tc>
      </w:tr>
      <w:tr w14:paraId="61F47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39" w:type="pct"/>
            <w:vAlign w:val="center"/>
          </w:tcPr>
          <w:p w14:paraId="1C427449">
            <w:pPr>
              <w:spacing w:line="240" w:lineRule="auto"/>
              <w:jc w:val="center"/>
              <w:rPr>
                <w:rFonts w:cs="Times New Roman"/>
              </w:rPr>
            </w:pPr>
            <w:r>
              <w:rPr>
                <w:rFonts w:cs="Times New Roman"/>
              </w:rPr>
              <w:t>1</w:t>
            </w:r>
          </w:p>
        </w:tc>
        <w:tc>
          <w:tcPr>
            <w:tcW w:w="875" w:type="pct"/>
            <w:vAlign w:val="center"/>
          </w:tcPr>
          <w:p w14:paraId="32F7D960">
            <w:pPr>
              <w:spacing w:line="240" w:lineRule="auto"/>
              <w:jc w:val="center"/>
              <w:rPr>
                <w:rFonts w:hint="default" w:eastAsia="宋体" w:cs="Times New Roman"/>
                <w:lang w:val="en-US" w:eastAsia="zh-CN"/>
              </w:rPr>
            </w:pPr>
            <w:r>
              <w:rPr>
                <w:rFonts w:hint="eastAsia"/>
                <w:lang w:val="en-US" w:eastAsia="zh-CN"/>
              </w:rPr>
              <w:t>李德睿</w:t>
            </w:r>
          </w:p>
        </w:tc>
        <w:tc>
          <w:tcPr>
            <w:tcW w:w="2521" w:type="pct"/>
            <w:vAlign w:val="center"/>
          </w:tcPr>
          <w:p w14:paraId="2FC90785">
            <w:pPr>
              <w:spacing w:line="240" w:lineRule="auto"/>
              <w:rPr>
                <w:rFonts w:hint="default" w:eastAsia="宋体" w:cs="Times New Roman"/>
                <w:lang w:val="en-US" w:eastAsia="zh-CN"/>
              </w:rPr>
            </w:pPr>
            <w:r>
              <w:rPr>
                <w:rFonts w:hint="eastAsia" w:cs="Times New Roman"/>
                <w:lang w:val="en-US" w:eastAsia="zh-CN"/>
              </w:rPr>
              <w:t>中广核研究院有限公司</w:t>
            </w:r>
          </w:p>
        </w:tc>
        <w:tc>
          <w:tcPr>
            <w:tcW w:w="1063" w:type="pct"/>
            <w:vAlign w:val="center"/>
          </w:tcPr>
          <w:p w14:paraId="2954FFA5">
            <w:pPr>
              <w:spacing w:line="240" w:lineRule="auto"/>
              <w:jc w:val="center"/>
              <w:rPr>
                <w:rFonts w:hint="eastAsia" w:ascii="宋体" w:hAnsi="宋体" w:eastAsia="宋体" w:cs="Times New Roman"/>
                <w:kern w:val="2"/>
                <w:sz w:val="24"/>
                <w:szCs w:val="24"/>
                <w:lang w:val="en-US" w:eastAsia="zh-CN" w:bidi="ar-SA"/>
              </w:rPr>
            </w:pPr>
            <w:r>
              <w:rPr>
                <w:rFonts w:cs="Times New Roman"/>
              </w:rPr>
              <w:t>全文编制</w:t>
            </w:r>
          </w:p>
        </w:tc>
      </w:tr>
      <w:tr w14:paraId="5FDEF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39" w:type="pct"/>
            <w:vAlign w:val="center"/>
          </w:tcPr>
          <w:p w14:paraId="3A987BB8">
            <w:pPr>
              <w:spacing w:line="240" w:lineRule="auto"/>
              <w:jc w:val="center"/>
              <w:rPr>
                <w:rFonts w:hint="default" w:cs="Times New Roman"/>
                <w:lang w:val="en-US" w:eastAsia="zh-CN"/>
              </w:rPr>
            </w:pPr>
            <w:r>
              <w:rPr>
                <w:rFonts w:hint="eastAsia" w:cs="Times New Roman"/>
                <w:lang w:val="en-US" w:eastAsia="zh-CN"/>
              </w:rPr>
              <w:t>2</w:t>
            </w:r>
          </w:p>
        </w:tc>
        <w:tc>
          <w:tcPr>
            <w:tcW w:w="875" w:type="pct"/>
            <w:vAlign w:val="center"/>
          </w:tcPr>
          <w:p w14:paraId="5F97E413">
            <w:pPr>
              <w:spacing w:line="240" w:lineRule="auto"/>
              <w:jc w:val="center"/>
              <w:rPr>
                <w:rFonts w:hint="default" w:cs="Times New Roman"/>
                <w:lang w:val="en-US" w:eastAsia="zh-CN"/>
              </w:rPr>
            </w:pPr>
            <w:r>
              <w:rPr>
                <w:rFonts w:hint="eastAsia" w:cs="Times New Roman"/>
                <w:lang w:val="en-US" w:eastAsia="zh-CN"/>
              </w:rPr>
              <w:t>方兴</w:t>
            </w:r>
          </w:p>
        </w:tc>
        <w:tc>
          <w:tcPr>
            <w:tcW w:w="2521" w:type="pct"/>
            <w:vAlign w:val="center"/>
          </w:tcPr>
          <w:p w14:paraId="6B9DDD4C">
            <w:pPr>
              <w:spacing w:line="240" w:lineRule="auto"/>
              <w:rPr>
                <w:rFonts w:hint="eastAsia" w:cs="Times New Roman"/>
                <w:lang w:val="en-US" w:eastAsia="zh-CN"/>
              </w:rPr>
            </w:pPr>
            <w:r>
              <w:rPr>
                <w:rFonts w:hint="eastAsia" w:cs="Times New Roman"/>
                <w:lang w:val="en-US" w:eastAsia="zh-CN"/>
              </w:rPr>
              <w:t>中广核研究院有限公司</w:t>
            </w:r>
          </w:p>
        </w:tc>
        <w:tc>
          <w:tcPr>
            <w:tcW w:w="1063" w:type="pct"/>
            <w:vAlign w:val="center"/>
          </w:tcPr>
          <w:p w14:paraId="21F8CBC5">
            <w:pPr>
              <w:spacing w:line="240" w:lineRule="auto"/>
              <w:jc w:val="center"/>
              <w:rPr>
                <w:rFonts w:hint="default" w:ascii="宋体" w:hAnsi="宋体" w:eastAsia="宋体" w:cs="Times New Roman"/>
                <w:kern w:val="2"/>
                <w:sz w:val="24"/>
                <w:szCs w:val="24"/>
                <w:lang w:val="en-US" w:eastAsia="zh-CN" w:bidi="ar-SA"/>
              </w:rPr>
            </w:pPr>
            <w:r>
              <w:rPr>
                <w:rFonts w:cs="Times New Roman"/>
              </w:rPr>
              <w:t>全文编制</w:t>
            </w:r>
          </w:p>
        </w:tc>
      </w:tr>
      <w:tr w14:paraId="61C96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39" w:type="pct"/>
            <w:vAlign w:val="center"/>
          </w:tcPr>
          <w:p w14:paraId="1F2CFE95">
            <w:pPr>
              <w:spacing w:line="240" w:lineRule="auto"/>
              <w:jc w:val="center"/>
              <w:rPr>
                <w:rFonts w:hint="default" w:cs="Times New Roman"/>
                <w:lang w:val="en-US" w:eastAsia="zh-CN"/>
              </w:rPr>
            </w:pPr>
            <w:r>
              <w:rPr>
                <w:rFonts w:hint="eastAsia" w:cs="Times New Roman"/>
                <w:lang w:val="en-US" w:eastAsia="zh-CN"/>
              </w:rPr>
              <w:t>3</w:t>
            </w:r>
          </w:p>
        </w:tc>
        <w:tc>
          <w:tcPr>
            <w:tcW w:w="875" w:type="pct"/>
            <w:vAlign w:val="center"/>
          </w:tcPr>
          <w:p w14:paraId="0E324D85">
            <w:pPr>
              <w:spacing w:line="240" w:lineRule="auto"/>
              <w:jc w:val="center"/>
              <w:rPr>
                <w:rFonts w:hint="default" w:cs="Times New Roman"/>
                <w:lang w:val="en-US" w:eastAsia="zh-CN"/>
              </w:rPr>
            </w:pPr>
            <w:r>
              <w:rPr>
                <w:rFonts w:hint="eastAsia" w:cs="Times New Roman"/>
                <w:lang w:val="en-US" w:eastAsia="zh-CN"/>
              </w:rPr>
              <w:t>芮旻</w:t>
            </w:r>
          </w:p>
        </w:tc>
        <w:tc>
          <w:tcPr>
            <w:tcW w:w="2521" w:type="pct"/>
            <w:vAlign w:val="center"/>
          </w:tcPr>
          <w:p w14:paraId="31E42696">
            <w:pPr>
              <w:spacing w:line="240" w:lineRule="auto"/>
              <w:rPr>
                <w:rFonts w:hint="eastAsia" w:cs="Times New Roman"/>
                <w:lang w:val="en-US" w:eastAsia="zh-CN"/>
              </w:rPr>
            </w:pPr>
            <w:r>
              <w:rPr>
                <w:rFonts w:hint="eastAsia" w:cs="Times New Roman"/>
                <w:lang w:val="en-US" w:eastAsia="zh-CN"/>
              </w:rPr>
              <w:t>中广核研究院有限公司</w:t>
            </w:r>
          </w:p>
        </w:tc>
        <w:tc>
          <w:tcPr>
            <w:tcW w:w="1063" w:type="pct"/>
            <w:vAlign w:val="center"/>
          </w:tcPr>
          <w:p w14:paraId="4A7C4C0D">
            <w:pPr>
              <w:spacing w:line="240" w:lineRule="auto"/>
              <w:jc w:val="center"/>
              <w:rPr>
                <w:rFonts w:hint="default" w:ascii="宋体" w:hAnsi="宋体" w:eastAsia="宋体" w:cs="Times New Roman"/>
                <w:kern w:val="2"/>
                <w:sz w:val="24"/>
                <w:szCs w:val="24"/>
                <w:lang w:val="en-US" w:eastAsia="zh-CN" w:bidi="ar-SA"/>
              </w:rPr>
            </w:pPr>
            <w:r>
              <w:rPr>
                <w:rFonts w:cs="Times New Roman"/>
              </w:rPr>
              <w:t>全文编制</w:t>
            </w:r>
          </w:p>
        </w:tc>
      </w:tr>
      <w:tr w14:paraId="0038C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39" w:type="pct"/>
            <w:vAlign w:val="center"/>
          </w:tcPr>
          <w:p w14:paraId="26C9556A">
            <w:pPr>
              <w:spacing w:line="240" w:lineRule="auto"/>
              <w:jc w:val="center"/>
              <w:rPr>
                <w:rFonts w:hint="default" w:cs="Times New Roman"/>
                <w:lang w:val="en-US" w:eastAsia="zh-CN"/>
              </w:rPr>
            </w:pPr>
            <w:r>
              <w:rPr>
                <w:rFonts w:hint="eastAsia" w:cs="Times New Roman"/>
                <w:lang w:val="en-US" w:eastAsia="zh-CN"/>
              </w:rPr>
              <w:t>4</w:t>
            </w:r>
          </w:p>
        </w:tc>
        <w:tc>
          <w:tcPr>
            <w:tcW w:w="875" w:type="pct"/>
            <w:vAlign w:val="center"/>
          </w:tcPr>
          <w:p w14:paraId="0DBF478E">
            <w:pPr>
              <w:spacing w:line="240" w:lineRule="auto"/>
              <w:jc w:val="center"/>
              <w:rPr>
                <w:rFonts w:hint="default" w:cs="Times New Roman"/>
                <w:lang w:val="en-US" w:eastAsia="zh-CN"/>
              </w:rPr>
            </w:pPr>
            <w:r>
              <w:rPr>
                <w:rFonts w:hint="eastAsia" w:cs="Times New Roman"/>
                <w:lang w:val="en-US" w:eastAsia="zh-CN"/>
              </w:rPr>
              <w:t>胡鱼旺</w:t>
            </w:r>
          </w:p>
        </w:tc>
        <w:tc>
          <w:tcPr>
            <w:tcW w:w="2521" w:type="pct"/>
            <w:vAlign w:val="center"/>
          </w:tcPr>
          <w:p w14:paraId="38BBB447">
            <w:pPr>
              <w:spacing w:line="240" w:lineRule="auto"/>
              <w:rPr>
                <w:rFonts w:hint="eastAsia" w:cs="Times New Roman"/>
                <w:lang w:val="en-US" w:eastAsia="zh-CN"/>
              </w:rPr>
            </w:pPr>
            <w:r>
              <w:rPr>
                <w:rFonts w:hint="eastAsia" w:cs="Times New Roman"/>
                <w:lang w:val="en-US" w:eastAsia="zh-CN"/>
              </w:rPr>
              <w:t>中广核研究院有限公司</w:t>
            </w:r>
          </w:p>
        </w:tc>
        <w:tc>
          <w:tcPr>
            <w:tcW w:w="1063" w:type="pct"/>
            <w:vAlign w:val="center"/>
          </w:tcPr>
          <w:p w14:paraId="7141FC5D">
            <w:pPr>
              <w:spacing w:line="240" w:lineRule="auto"/>
              <w:jc w:val="center"/>
              <w:rPr>
                <w:rFonts w:hint="default" w:ascii="宋体" w:hAnsi="宋体" w:eastAsia="宋体" w:cs="Times New Roman"/>
                <w:kern w:val="2"/>
                <w:sz w:val="24"/>
                <w:szCs w:val="24"/>
                <w:lang w:val="en-US" w:eastAsia="zh-CN" w:bidi="ar-SA"/>
              </w:rPr>
            </w:pPr>
            <w:r>
              <w:rPr>
                <w:rFonts w:cs="Times New Roman"/>
              </w:rPr>
              <w:t>全文编制</w:t>
            </w:r>
          </w:p>
        </w:tc>
      </w:tr>
      <w:tr w14:paraId="72BF5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39" w:type="pct"/>
            <w:vAlign w:val="center"/>
          </w:tcPr>
          <w:p w14:paraId="5137C139">
            <w:pPr>
              <w:spacing w:line="240" w:lineRule="auto"/>
              <w:jc w:val="center"/>
              <w:rPr>
                <w:rFonts w:hint="eastAsia" w:eastAsia="宋体" w:cs="Times New Roman"/>
                <w:lang w:val="en-US" w:eastAsia="zh-CN"/>
              </w:rPr>
            </w:pPr>
            <w:r>
              <w:rPr>
                <w:rFonts w:hint="eastAsia" w:cs="Times New Roman"/>
                <w:lang w:val="en-US" w:eastAsia="zh-CN"/>
              </w:rPr>
              <w:t>5</w:t>
            </w:r>
          </w:p>
        </w:tc>
        <w:tc>
          <w:tcPr>
            <w:tcW w:w="875" w:type="pct"/>
            <w:vAlign w:val="center"/>
          </w:tcPr>
          <w:p w14:paraId="54FF7025">
            <w:pPr>
              <w:spacing w:line="240" w:lineRule="auto"/>
              <w:jc w:val="center"/>
              <w:rPr>
                <w:rFonts w:hint="default" w:cs="Times New Roman"/>
                <w:lang w:val="en-US" w:eastAsia="zh-CN"/>
              </w:rPr>
            </w:pPr>
            <w:r>
              <w:rPr>
                <w:rFonts w:hint="eastAsia" w:cs="Times New Roman"/>
                <w:lang w:val="en-US" w:eastAsia="zh-CN"/>
              </w:rPr>
              <w:t>张琪</w:t>
            </w:r>
          </w:p>
        </w:tc>
        <w:tc>
          <w:tcPr>
            <w:tcW w:w="2521" w:type="pct"/>
            <w:vAlign w:val="center"/>
          </w:tcPr>
          <w:p w14:paraId="1B21250A">
            <w:pPr>
              <w:spacing w:line="240" w:lineRule="auto"/>
              <w:rPr>
                <w:rFonts w:hint="eastAsia" w:cs="Times New Roman"/>
                <w:lang w:val="en-US" w:eastAsia="zh-CN"/>
              </w:rPr>
            </w:pPr>
            <w:r>
              <w:rPr>
                <w:rFonts w:hint="eastAsia" w:cs="Times New Roman"/>
                <w:lang w:val="en-US" w:eastAsia="zh-CN"/>
              </w:rPr>
              <w:t>中广核研究院有限公司</w:t>
            </w:r>
          </w:p>
        </w:tc>
        <w:tc>
          <w:tcPr>
            <w:tcW w:w="1063" w:type="pct"/>
            <w:vAlign w:val="center"/>
          </w:tcPr>
          <w:p w14:paraId="71A15129">
            <w:pPr>
              <w:spacing w:line="240" w:lineRule="auto"/>
              <w:jc w:val="center"/>
              <w:rPr>
                <w:rFonts w:hint="default" w:ascii="宋体" w:hAnsi="宋体" w:eastAsia="宋体" w:cs="Times New Roman"/>
                <w:kern w:val="2"/>
                <w:sz w:val="24"/>
                <w:szCs w:val="24"/>
                <w:lang w:val="en-US" w:eastAsia="zh-CN" w:bidi="ar-SA"/>
              </w:rPr>
            </w:pPr>
            <w:r>
              <w:rPr>
                <w:rFonts w:cs="Times New Roman"/>
              </w:rPr>
              <w:t>全文编制</w:t>
            </w:r>
          </w:p>
        </w:tc>
      </w:tr>
      <w:tr w14:paraId="43083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39" w:type="pct"/>
            <w:vAlign w:val="center"/>
          </w:tcPr>
          <w:p w14:paraId="0107E72A">
            <w:pPr>
              <w:spacing w:line="240" w:lineRule="auto"/>
              <w:jc w:val="center"/>
              <w:rPr>
                <w:rFonts w:hint="default" w:cs="Times New Roman"/>
                <w:lang w:val="en-US" w:eastAsia="zh-CN"/>
              </w:rPr>
            </w:pPr>
            <w:r>
              <w:rPr>
                <w:rFonts w:hint="eastAsia" w:cs="Times New Roman"/>
                <w:lang w:val="en-US" w:eastAsia="zh-CN"/>
              </w:rPr>
              <w:t>6</w:t>
            </w:r>
          </w:p>
        </w:tc>
        <w:tc>
          <w:tcPr>
            <w:tcW w:w="875" w:type="pct"/>
            <w:vAlign w:val="center"/>
          </w:tcPr>
          <w:p w14:paraId="205D9DF4">
            <w:pPr>
              <w:spacing w:line="240" w:lineRule="auto"/>
              <w:jc w:val="center"/>
              <w:rPr>
                <w:rFonts w:hint="default" w:cs="Times New Roman"/>
                <w:lang w:val="en-US" w:eastAsia="zh-CN"/>
              </w:rPr>
            </w:pPr>
            <w:r>
              <w:rPr>
                <w:rFonts w:hint="eastAsia" w:cs="Times New Roman"/>
                <w:lang w:val="en-US" w:eastAsia="zh-CN"/>
              </w:rPr>
              <w:t>范英琦</w:t>
            </w:r>
          </w:p>
        </w:tc>
        <w:tc>
          <w:tcPr>
            <w:tcW w:w="2521" w:type="pct"/>
            <w:vAlign w:val="center"/>
          </w:tcPr>
          <w:p w14:paraId="1EB96F29">
            <w:pPr>
              <w:spacing w:line="240" w:lineRule="auto"/>
              <w:rPr>
                <w:rFonts w:hint="eastAsia" w:cs="Times New Roman"/>
                <w:lang w:val="en-US" w:eastAsia="zh-CN"/>
              </w:rPr>
            </w:pPr>
            <w:r>
              <w:rPr>
                <w:rFonts w:hint="eastAsia" w:cs="Times New Roman"/>
                <w:lang w:val="en-US" w:eastAsia="zh-CN"/>
              </w:rPr>
              <w:t>中广核研究院有限公司</w:t>
            </w:r>
          </w:p>
        </w:tc>
        <w:tc>
          <w:tcPr>
            <w:tcW w:w="1063" w:type="pct"/>
            <w:vAlign w:val="center"/>
          </w:tcPr>
          <w:p w14:paraId="2094C134">
            <w:pPr>
              <w:spacing w:line="240" w:lineRule="auto"/>
              <w:jc w:val="center"/>
              <w:rPr>
                <w:rFonts w:ascii="宋体" w:hAnsi="宋体" w:eastAsia="宋体" w:cs="Times New Roman"/>
                <w:kern w:val="2"/>
                <w:sz w:val="24"/>
                <w:szCs w:val="24"/>
                <w:lang w:val="en-US" w:eastAsia="zh-CN" w:bidi="ar-SA"/>
              </w:rPr>
            </w:pPr>
            <w:r>
              <w:rPr>
                <w:rFonts w:cs="Times New Roman"/>
              </w:rPr>
              <w:t>全文编制</w:t>
            </w:r>
          </w:p>
        </w:tc>
      </w:tr>
      <w:tr w14:paraId="50F65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39" w:type="pct"/>
            <w:vAlign w:val="center"/>
          </w:tcPr>
          <w:p w14:paraId="06D0E787">
            <w:pPr>
              <w:spacing w:line="240" w:lineRule="auto"/>
              <w:jc w:val="center"/>
              <w:rPr>
                <w:rFonts w:hint="eastAsia" w:eastAsia="宋体" w:cs="Times New Roman"/>
                <w:lang w:eastAsia="zh-CN"/>
              </w:rPr>
            </w:pPr>
            <w:r>
              <w:rPr>
                <w:rFonts w:hint="eastAsia" w:cs="Times New Roman"/>
                <w:lang w:val="en-US" w:eastAsia="zh-CN"/>
              </w:rPr>
              <w:t>7</w:t>
            </w:r>
          </w:p>
        </w:tc>
        <w:tc>
          <w:tcPr>
            <w:tcW w:w="875" w:type="pct"/>
            <w:vAlign w:val="center"/>
          </w:tcPr>
          <w:p w14:paraId="50163933">
            <w:pPr>
              <w:spacing w:line="240" w:lineRule="auto"/>
              <w:jc w:val="center"/>
              <w:rPr>
                <w:rFonts w:hint="default" w:eastAsia="宋体" w:cs="Times New Roman"/>
                <w:lang w:val="en-US" w:eastAsia="zh-CN"/>
              </w:rPr>
            </w:pPr>
            <w:r>
              <w:rPr>
                <w:rFonts w:hint="eastAsia" w:cs="Times New Roman"/>
                <w:lang w:val="en-US" w:eastAsia="zh-CN"/>
              </w:rPr>
              <w:t>梁立创</w:t>
            </w:r>
          </w:p>
        </w:tc>
        <w:tc>
          <w:tcPr>
            <w:tcW w:w="2521" w:type="pct"/>
            <w:vAlign w:val="center"/>
          </w:tcPr>
          <w:p w14:paraId="3E9335E8">
            <w:pPr>
              <w:spacing w:line="240" w:lineRule="auto"/>
              <w:rPr>
                <w:rFonts w:cs="Times New Roman"/>
              </w:rPr>
            </w:pPr>
            <w:bookmarkStart w:id="0" w:name="OLE_LINK4"/>
            <w:r>
              <w:rPr>
                <w:rFonts w:hint="eastAsia" w:cs="Times New Roman"/>
                <w:lang w:val="en-US" w:eastAsia="zh-CN"/>
              </w:rPr>
              <w:t>中广核研究院有限公司</w:t>
            </w:r>
            <w:bookmarkEnd w:id="0"/>
          </w:p>
        </w:tc>
        <w:tc>
          <w:tcPr>
            <w:tcW w:w="1063" w:type="pct"/>
            <w:vAlign w:val="center"/>
          </w:tcPr>
          <w:p w14:paraId="3692D8AF">
            <w:pPr>
              <w:spacing w:line="240" w:lineRule="auto"/>
              <w:jc w:val="center"/>
              <w:rPr>
                <w:rFonts w:ascii="宋体" w:hAnsi="宋体" w:eastAsia="宋体" w:cs="Times New Roman"/>
                <w:kern w:val="2"/>
                <w:sz w:val="24"/>
                <w:szCs w:val="24"/>
                <w:lang w:val="en-US" w:eastAsia="zh-CN" w:bidi="ar-SA"/>
              </w:rPr>
            </w:pPr>
            <w:bookmarkStart w:id="1" w:name="OLE_LINK5"/>
            <w:r>
              <w:rPr>
                <w:rFonts w:cs="Times New Roman"/>
              </w:rPr>
              <w:t>全文编制</w:t>
            </w:r>
            <w:bookmarkEnd w:id="1"/>
          </w:p>
        </w:tc>
      </w:tr>
      <w:tr w14:paraId="32BC0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39" w:type="pct"/>
            <w:vAlign w:val="center"/>
          </w:tcPr>
          <w:p w14:paraId="6C8948C8">
            <w:pPr>
              <w:spacing w:line="240" w:lineRule="auto"/>
              <w:jc w:val="center"/>
              <w:rPr>
                <w:rFonts w:hint="eastAsia" w:ascii="宋体" w:hAnsi="宋体" w:eastAsia="宋体" w:cs="Times New Roman"/>
                <w:kern w:val="2"/>
                <w:sz w:val="24"/>
                <w:szCs w:val="24"/>
                <w:lang w:val="en-US" w:eastAsia="zh-CN" w:bidi="ar-SA"/>
              </w:rPr>
            </w:pPr>
            <w:r>
              <w:rPr>
                <w:rFonts w:hint="eastAsia" w:cs="Times New Roman"/>
                <w:lang w:val="en-US" w:eastAsia="zh-CN"/>
              </w:rPr>
              <w:t>8</w:t>
            </w:r>
          </w:p>
        </w:tc>
        <w:tc>
          <w:tcPr>
            <w:tcW w:w="875" w:type="pct"/>
            <w:vAlign w:val="center"/>
          </w:tcPr>
          <w:p w14:paraId="2305ABB8">
            <w:pPr>
              <w:spacing w:line="240" w:lineRule="auto"/>
              <w:jc w:val="center"/>
              <w:rPr>
                <w:rFonts w:hint="default" w:cs="Times New Roman"/>
                <w:lang w:val="en-US" w:eastAsia="zh-CN"/>
              </w:rPr>
            </w:pPr>
            <w:r>
              <w:rPr>
                <w:rFonts w:hint="eastAsia" w:cs="Times New Roman"/>
                <w:lang w:val="en-US" w:eastAsia="zh-CN"/>
              </w:rPr>
              <w:t>张立德</w:t>
            </w:r>
          </w:p>
        </w:tc>
        <w:tc>
          <w:tcPr>
            <w:tcW w:w="2521" w:type="pct"/>
            <w:vAlign w:val="center"/>
          </w:tcPr>
          <w:p w14:paraId="241D9C7C">
            <w:pPr>
              <w:spacing w:line="240" w:lineRule="auto"/>
              <w:rPr>
                <w:rFonts w:hint="eastAsia" w:cs="Times New Roman"/>
                <w:lang w:val="en-US" w:eastAsia="zh-CN"/>
              </w:rPr>
            </w:pPr>
            <w:r>
              <w:rPr>
                <w:rFonts w:hint="eastAsia" w:cs="Times New Roman"/>
                <w:lang w:val="en-US" w:eastAsia="zh-CN"/>
              </w:rPr>
              <w:t>中广核研究院有限公司</w:t>
            </w:r>
          </w:p>
        </w:tc>
        <w:tc>
          <w:tcPr>
            <w:tcW w:w="1063" w:type="pct"/>
            <w:vAlign w:val="center"/>
          </w:tcPr>
          <w:p w14:paraId="280A1383">
            <w:pPr>
              <w:spacing w:line="240" w:lineRule="auto"/>
              <w:jc w:val="center"/>
              <w:rPr>
                <w:rFonts w:cs="Times New Roman"/>
              </w:rPr>
            </w:pPr>
            <w:r>
              <w:rPr>
                <w:rFonts w:cs="Times New Roman"/>
              </w:rPr>
              <w:t>全文编制</w:t>
            </w:r>
          </w:p>
        </w:tc>
      </w:tr>
      <w:tr w14:paraId="74C03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39" w:type="pct"/>
            <w:vAlign w:val="center"/>
          </w:tcPr>
          <w:p w14:paraId="18C0A3DF">
            <w:pPr>
              <w:spacing w:line="240" w:lineRule="auto"/>
              <w:jc w:val="center"/>
              <w:rPr>
                <w:rFonts w:hint="eastAsia" w:ascii="宋体" w:hAnsi="宋体" w:eastAsia="宋体" w:cs="Times New Roman"/>
                <w:kern w:val="2"/>
                <w:sz w:val="24"/>
                <w:szCs w:val="24"/>
                <w:lang w:val="en-US" w:eastAsia="zh-CN" w:bidi="ar-SA"/>
              </w:rPr>
            </w:pPr>
            <w:r>
              <w:rPr>
                <w:rFonts w:hint="eastAsia" w:cs="Times New Roman"/>
                <w:lang w:val="en-US" w:eastAsia="zh-CN"/>
              </w:rPr>
              <w:t>9</w:t>
            </w:r>
          </w:p>
        </w:tc>
        <w:tc>
          <w:tcPr>
            <w:tcW w:w="875" w:type="pct"/>
            <w:vAlign w:val="center"/>
          </w:tcPr>
          <w:p w14:paraId="42A35D68">
            <w:pPr>
              <w:spacing w:line="240" w:lineRule="auto"/>
              <w:jc w:val="center"/>
              <w:rPr>
                <w:rFonts w:hint="default" w:eastAsia="宋体" w:cs="Times New Roman"/>
                <w:lang w:val="en-US" w:eastAsia="zh-CN"/>
              </w:rPr>
            </w:pPr>
            <w:r>
              <w:rPr>
                <w:rFonts w:hint="eastAsia" w:cs="Times New Roman"/>
                <w:lang w:val="en-US" w:eastAsia="zh-CN"/>
              </w:rPr>
              <w:t>高桂艳</w:t>
            </w:r>
          </w:p>
        </w:tc>
        <w:tc>
          <w:tcPr>
            <w:tcW w:w="2521" w:type="pct"/>
            <w:vAlign w:val="center"/>
          </w:tcPr>
          <w:p w14:paraId="1F5FD5D6">
            <w:pPr>
              <w:spacing w:line="240" w:lineRule="auto"/>
              <w:rPr>
                <w:rFonts w:cs="Times New Roman"/>
              </w:rPr>
            </w:pPr>
            <w:r>
              <w:rPr>
                <w:rFonts w:hint="eastAsia" w:cs="Times New Roman"/>
                <w:lang w:val="en-US" w:eastAsia="zh-CN"/>
              </w:rPr>
              <w:t>中广核研究院有限公司</w:t>
            </w:r>
          </w:p>
        </w:tc>
        <w:tc>
          <w:tcPr>
            <w:tcW w:w="1063" w:type="pct"/>
            <w:vAlign w:val="center"/>
          </w:tcPr>
          <w:p w14:paraId="57D1E403">
            <w:pPr>
              <w:spacing w:line="240" w:lineRule="auto"/>
              <w:jc w:val="center"/>
              <w:rPr>
                <w:rFonts w:ascii="宋体" w:hAnsi="宋体" w:eastAsia="宋体" w:cs="Times New Roman"/>
                <w:kern w:val="2"/>
                <w:sz w:val="24"/>
                <w:szCs w:val="24"/>
                <w:lang w:val="en-US" w:eastAsia="zh-CN" w:bidi="ar-SA"/>
              </w:rPr>
            </w:pPr>
            <w:r>
              <w:rPr>
                <w:rFonts w:cs="Times New Roman"/>
              </w:rPr>
              <w:t>全文编制</w:t>
            </w:r>
          </w:p>
        </w:tc>
      </w:tr>
      <w:tr w14:paraId="74240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39" w:type="pct"/>
            <w:vAlign w:val="center"/>
          </w:tcPr>
          <w:p w14:paraId="572CF4BB">
            <w:pPr>
              <w:spacing w:line="240" w:lineRule="auto"/>
              <w:jc w:val="center"/>
              <w:rPr>
                <w:rFonts w:hint="eastAsia" w:ascii="宋体" w:hAnsi="宋体" w:eastAsia="宋体" w:cs="Times New Roman"/>
                <w:kern w:val="2"/>
                <w:sz w:val="24"/>
                <w:szCs w:val="24"/>
                <w:lang w:val="en-US" w:eastAsia="zh-CN" w:bidi="ar-SA"/>
              </w:rPr>
            </w:pPr>
            <w:r>
              <w:rPr>
                <w:rFonts w:hint="eastAsia" w:cs="Times New Roman"/>
                <w:lang w:val="en-US" w:eastAsia="zh-CN"/>
              </w:rPr>
              <w:t>10</w:t>
            </w:r>
          </w:p>
        </w:tc>
        <w:tc>
          <w:tcPr>
            <w:tcW w:w="875" w:type="pct"/>
            <w:vAlign w:val="center"/>
          </w:tcPr>
          <w:p w14:paraId="7D3769C5">
            <w:pPr>
              <w:spacing w:line="240" w:lineRule="auto"/>
              <w:jc w:val="center"/>
              <w:rPr>
                <w:rFonts w:hint="default" w:eastAsia="宋体" w:cs="Times New Roman"/>
                <w:lang w:val="en-US" w:eastAsia="zh-CN"/>
              </w:rPr>
            </w:pPr>
            <w:r>
              <w:rPr>
                <w:rFonts w:hint="eastAsia" w:cs="Times New Roman"/>
                <w:lang w:val="en-US" w:eastAsia="zh-CN"/>
              </w:rPr>
              <w:t>杨江</w:t>
            </w:r>
          </w:p>
        </w:tc>
        <w:tc>
          <w:tcPr>
            <w:tcW w:w="2521" w:type="pct"/>
            <w:vAlign w:val="center"/>
          </w:tcPr>
          <w:p w14:paraId="2F6F87CC">
            <w:pPr>
              <w:spacing w:line="240" w:lineRule="auto"/>
              <w:rPr>
                <w:rFonts w:cs="Times New Roman"/>
              </w:rPr>
            </w:pPr>
            <w:bookmarkStart w:id="2" w:name="OLE_LINK2"/>
            <w:r>
              <w:rPr>
                <w:rFonts w:hint="eastAsia" w:cs="Times New Roman"/>
                <w:lang w:val="en-US" w:eastAsia="zh-CN"/>
              </w:rPr>
              <w:t>中广核研究院有限公司</w:t>
            </w:r>
            <w:bookmarkEnd w:id="2"/>
          </w:p>
        </w:tc>
        <w:tc>
          <w:tcPr>
            <w:tcW w:w="1063" w:type="pct"/>
            <w:vAlign w:val="center"/>
          </w:tcPr>
          <w:p w14:paraId="5BC5EC4D">
            <w:pPr>
              <w:spacing w:line="240" w:lineRule="auto"/>
              <w:jc w:val="center"/>
              <w:rPr>
                <w:rFonts w:hint="default" w:ascii="宋体" w:hAnsi="宋体" w:eastAsia="宋体" w:cs="Times New Roman"/>
                <w:kern w:val="2"/>
                <w:sz w:val="24"/>
                <w:szCs w:val="24"/>
                <w:lang w:val="en-US" w:eastAsia="zh-CN" w:bidi="ar-SA"/>
              </w:rPr>
            </w:pPr>
            <w:r>
              <w:rPr>
                <w:rFonts w:cs="Times New Roman"/>
              </w:rPr>
              <w:t>全文编制</w:t>
            </w:r>
          </w:p>
        </w:tc>
      </w:tr>
      <w:tr w14:paraId="5CFB1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39" w:type="pct"/>
            <w:vAlign w:val="center"/>
          </w:tcPr>
          <w:p w14:paraId="6486B50D">
            <w:pPr>
              <w:spacing w:line="240" w:lineRule="auto"/>
              <w:jc w:val="center"/>
              <w:rPr>
                <w:rFonts w:hint="eastAsia" w:ascii="宋体" w:hAnsi="宋体" w:eastAsia="宋体" w:cs="Times New Roman"/>
                <w:kern w:val="2"/>
                <w:sz w:val="24"/>
                <w:szCs w:val="24"/>
                <w:lang w:val="en-US" w:eastAsia="zh-CN" w:bidi="ar-SA"/>
              </w:rPr>
            </w:pPr>
            <w:r>
              <w:rPr>
                <w:rFonts w:hint="eastAsia" w:cs="Times New Roman"/>
                <w:lang w:val="en-US" w:eastAsia="zh-CN"/>
              </w:rPr>
              <w:t>11</w:t>
            </w:r>
          </w:p>
        </w:tc>
        <w:tc>
          <w:tcPr>
            <w:tcW w:w="875" w:type="pct"/>
            <w:vAlign w:val="center"/>
          </w:tcPr>
          <w:p w14:paraId="0657CA76">
            <w:pPr>
              <w:spacing w:line="240" w:lineRule="auto"/>
              <w:jc w:val="center"/>
              <w:rPr>
                <w:rFonts w:hint="eastAsia" w:cs="Times New Roman"/>
                <w:lang w:val="en-US" w:eastAsia="zh-CN"/>
              </w:rPr>
            </w:pPr>
            <w:r>
              <w:rPr>
                <w:rFonts w:hint="eastAsia" w:cs="Times New Roman"/>
                <w:lang w:val="en-US" w:eastAsia="zh-CN"/>
              </w:rPr>
              <w:t>李桂勇</w:t>
            </w:r>
          </w:p>
        </w:tc>
        <w:tc>
          <w:tcPr>
            <w:tcW w:w="2521" w:type="pct"/>
            <w:vAlign w:val="center"/>
          </w:tcPr>
          <w:p w14:paraId="6D49E73A">
            <w:pPr>
              <w:spacing w:line="240" w:lineRule="auto"/>
              <w:rPr>
                <w:rFonts w:hint="eastAsia" w:cs="Times New Roman"/>
                <w:lang w:val="en-US" w:eastAsia="zh-CN"/>
              </w:rPr>
            </w:pPr>
            <w:r>
              <w:rPr>
                <w:rFonts w:hint="eastAsia" w:cs="Times New Roman"/>
                <w:lang w:val="en-US" w:eastAsia="zh-CN"/>
              </w:rPr>
              <w:t>中广核研究院有限公司</w:t>
            </w:r>
          </w:p>
        </w:tc>
        <w:tc>
          <w:tcPr>
            <w:tcW w:w="1063" w:type="pct"/>
            <w:vAlign w:val="center"/>
          </w:tcPr>
          <w:p w14:paraId="276DD8CD">
            <w:pPr>
              <w:spacing w:line="240" w:lineRule="auto"/>
              <w:jc w:val="center"/>
              <w:rPr>
                <w:rFonts w:hint="default" w:ascii="宋体" w:hAnsi="宋体" w:eastAsia="宋体" w:cs="Times New Roman"/>
                <w:kern w:val="2"/>
                <w:sz w:val="24"/>
                <w:szCs w:val="24"/>
                <w:lang w:val="en-US" w:eastAsia="zh-CN" w:bidi="ar-SA"/>
              </w:rPr>
            </w:pPr>
            <w:r>
              <w:rPr>
                <w:rFonts w:cs="Times New Roman"/>
              </w:rPr>
              <w:t>全文编制</w:t>
            </w:r>
          </w:p>
        </w:tc>
      </w:tr>
      <w:tr w14:paraId="78CBC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39" w:type="pct"/>
            <w:shd w:val="clear" w:color="auto" w:fill="auto"/>
            <w:vAlign w:val="center"/>
          </w:tcPr>
          <w:p w14:paraId="66035651">
            <w:pPr>
              <w:spacing w:line="240" w:lineRule="auto"/>
              <w:jc w:val="center"/>
              <w:rPr>
                <w:rFonts w:hint="default" w:ascii="宋体" w:hAnsi="宋体" w:eastAsia="宋体" w:cs="Times New Roman"/>
                <w:kern w:val="2"/>
                <w:sz w:val="24"/>
                <w:szCs w:val="24"/>
                <w:lang w:val="en-US" w:eastAsia="zh-CN" w:bidi="ar-SA"/>
              </w:rPr>
            </w:pPr>
            <w:r>
              <w:rPr>
                <w:rFonts w:hint="eastAsia" w:cs="Times New Roman"/>
                <w:lang w:val="en-US" w:eastAsia="zh-CN"/>
              </w:rPr>
              <w:t>12</w:t>
            </w:r>
          </w:p>
        </w:tc>
        <w:tc>
          <w:tcPr>
            <w:tcW w:w="875" w:type="pct"/>
            <w:vAlign w:val="center"/>
          </w:tcPr>
          <w:p w14:paraId="29D506F9">
            <w:pPr>
              <w:spacing w:line="240" w:lineRule="auto"/>
              <w:jc w:val="center"/>
              <w:rPr>
                <w:rFonts w:hint="default" w:eastAsia="宋体" w:cs="Times New Roman"/>
                <w:lang w:val="en-US" w:eastAsia="zh-CN"/>
              </w:rPr>
            </w:pPr>
            <w:r>
              <w:rPr>
                <w:rFonts w:hint="eastAsia" w:cs="Times New Roman"/>
                <w:lang w:val="en-US" w:eastAsia="zh-CN"/>
              </w:rPr>
              <w:t>王俊</w:t>
            </w:r>
          </w:p>
        </w:tc>
        <w:tc>
          <w:tcPr>
            <w:tcW w:w="2521" w:type="pct"/>
            <w:vAlign w:val="center"/>
          </w:tcPr>
          <w:p w14:paraId="2D47841A">
            <w:pPr>
              <w:spacing w:line="240" w:lineRule="auto"/>
              <w:rPr>
                <w:rFonts w:hint="default" w:cs="Times New Roman"/>
                <w:lang w:val="en-US"/>
              </w:rPr>
            </w:pPr>
            <w:r>
              <w:rPr>
                <w:rFonts w:hint="eastAsia" w:cs="Times New Roman"/>
                <w:lang w:val="en-US" w:eastAsia="zh-CN"/>
              </w:rPr>
              <w:t>中国船舶研究设计中心</w:t>
            </w:r>
          </w:p>
        </w:tc>
        <w:tc>
          <w:tcPr>
            <w:tcW w:w="1063" w:type="pct"/>
            <w:vAlign w:val="center"/>
          </w:tcPr>
          <w:p w14:paraId="1942E1F7">
            <w:pPr>
              <w:spacing w:line="240" w:lineRule="auto"/>
              <w:jc w:val="center"/>
              <w:rPr>
                <w:rFonts w:hint="eastAsia" w:eastAsia="宋体" w:cs="Times New Roman"/>
                <w:lang w:eastAsia="zh-CN"/>
              </w:rPr>
            </w:pPr>
            <w:r>
              <w:rPr>
                <w:rFonts w:hint="eastAsia" w:cs="Times New Roman"/>
                <w:lang w:val="en-US" w:eastAsia="zh-CN"/>
              </w:rPr>
              <w:t>参编</w:t>
            </w:r>
          </w:p>
        </w:tc>
      </w:tr>
      <w:tr w14:paraId="464FC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39" w:type="pct"/>
            <w:shd w:val="clear" w:color="auto" w:fill="auto"/>
            <w:vAlign w:val="center"/>
          </w:tcPr>
          <w:p w14:paraId="14731C9D">
            <w:pPr>
              <w:spacing w:line="240" w:lineRule="auto"/>
              <w:jc w:val="center"/>
              <w:rPr>
                <w:rFonts w:hint="default" w:ascii="宋体" w:hAnsi="宋体" w:eastAsia="宋体" w:cs="Times New Roman"/>
                <w:kern w:val="2"/>
                <w:sz w:val="24"/>
                <w:szCs w:val="24"/>
                <w:lang w:val="en-US" w:eastAsia="zh-CN" w:bidi="ar-SA"/>
              </w:rPr>
            </w:pPr>
            <w:r>
              <w:rPr>
                <w:rFonts w:hint="eastAsia" w:cs="Times New Roman"/>
                <w:lang w:val="en-US" w:eastAsia="zh-CN"/>
              </w:rPr>
              <w:t>13</w:t>
            </w:r>
          </w:p>
        </w:tc>
        <w:tc>
          <w:tcPr>
            <w:tcW w:w="875" w:type="pct"/>
            <w:vAlign w:val="center"/>
          </w:tcPr>
          <w:p w14:paraId="27739167">
            <w:pPr>
              <w:spacing w:line="240" w:lineRule="auto"/>
              <w:jc w:val="center"/>
              <w:rPr>
                <w:rFonts w:hint="default"/>
                <w:lang w:val="en-US" w:eastAsia="zh-CN"/>
              </w:rPr>
            </w:pPr>
            <w:r>
              <w:rPr>
                <w:rFonts w:hint="eastAsia"/>
                <w:lang w:val="en-US" w:eastAsia="zh-CN"/>
              </w:rPr>
              <w:t>丁亮</w:t>
            </w:r>
          </w:p>
        </w:tc>
        <w:tc>
          <w:tcPr>
            <w:tcW w:w="2521" w:type="pct"/>
            <w:vAlign w:val="center"/>
          </w:tcPr>
          <w:p w14:paraId="2A020F93">
            <w:pPr>
              <w:spacing w:line="240" w:lineRule="auto"/>
              <w:rPr>
                <w:rFonts w:hint="default" w:eastAsia="宋体"/>
                <w:lang w:val="en-US" w:eastAsia="zh-CN"/>
              </w:rPr>
            </w:pPr>
            <w:r>
              <w:rPr>
                <w:rFonts w:hint="eastAsia"/>
                <w:lang w:val="en-US" w:eastAsia="zh-CN"/>
              </w:rPr>
              <w:t>中国核电工程有限公司</w:t>
            </w:r>
          </w:p>
        </w:tc>
        <w:tc>
          <w:tcPr>
            <w:tcW w:w="1063" w:type="pct"/>
            <w:vAlign w:val="center"/>
          </w:tcPr>
          <w:p w14:paraId="04FC1C5F">
            <w:pPr>
              <w:spacing w:line="240" w:lineRule="auto"/>
              <w:jc w:val="center"/>
              <w:rPr>
                <w:rFonts w:hint="eastAsia" w:cs="Times New Roman"/>
              </w:rPr>
            </w:pPr>
            <w:r>
              <w:rPr>
                <w:rFonts w:hint="eastAsia" w:cs="Times New Roman"/>
              </w:rPr>
              <w:t>参编</w:t>
            </w:r>
          </w:p>
        </w:tc>
      </w:tr>
      <w:tr w14:paraId="1E830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39" w:type="pct"/>
            <w:shd w:val="clear" w:color="auto" w:fill="auto"/>
            <w:vAlign w:val="center"/>
          </w:tcPr>
          <w:p w14:paraId="172158AC">
            <w:pPr>
              <w:spacing w:line="240" w:lineRule="auto"/>
              <w:jc w:val="center"/>
              <w:rPr>
                <w:rFonts w:hint="default" w:ascii="宋体" w:hAnsi="宋体" w:eastAsia="宋体" w:cs="Times New Roman"/>
                <w:kern w:val="2"/>
                <w:sz w:val="24"/>
                <w:szCs w:val="24"/>
                <w:lang w:val="en-US" w:eastAsia="zh-CN" w:bidi="ar-SA"/>
              </w:rPr>
            </w:pPr>
            <w:r>
              <w:rPr>
                <w:rFonts w:hint="eastAsia" w:cs="Times New Roman"/>
                <w:lang w:val="en-US" w:eastAsia="zh-CN"/>
              </w:rPr>
              <w:t>14</w:t>
            </w:r>
          </w:p>
        </w:tc>
        <w:tc>
          <w:tcPr>
            <w:tcW w:w="875" w:type="pct"/>
            <w:vAlign w:val="center"/>
          </w:tcPr>
          <w:p w14:paraId="4F30A5C4">
            <w:pPr>
              <w:spacing w:line="240" w:lineRule="auto"/>
              <w:jc w:val="center"/>
              <w:rPr>
                <w:rFonts w:hint="default" w:eastAsia="宋体" w:cs="Times New Roman"/>
                <w:lang w:val="en-US" w:eastAsia="zh-CN"/>
              </w:rPr>
            </w:pPr>
            <w:r>
              <w:rPr>
                <w:rFonts w:hint="eastAsia" w:cs="Times New Roman"/>
                <w:lang w:val="en-US" w:eastAsia="zh-CN"/>
              </w:rPr>
              <w:t>邱</w:t>
            </w:r>
            <w:bookmarkStart w:id="5" w:name="_GoBack"/>
            <w:bookmarkEnd w:id="5"/>
            <w:r>
              <w:rPr>
                <w:rFonts w:hint="eastAsia" w:cs="Times New Roman"/>
                <w:lang w:val="en-US" w:eastAsia="zh-CN"/>
              </w:rPr>
              <w:t>健</w:t>
            </w:r>
          </w:p>
        </w:tc>
        <w:tc>
          <w:tcPr>
            <w:tcW w:w="2521" w:type="pct"/>
            <w:vAlign w:val="center"/>
          </w:tcPr>
          <w:p w14:paraId="35E4AFEB">
            <w:pPr>
              <w:spacing w:line="240" w:lineRule="auto"/>
              <w:rPr>
                <w:rFonts w:hint="default" w:eastAsia="宋体" w:cs="Times New Roman"/>
                <w:lang w:val="en-US" w:eastAsia="zh-CN"/>
              </w:rPr>
            </w:pPr>
            <w:bookmarkStart w:id="3" w:name="OLE_LINK3"/>
            <w:r>
              <w:rPr>
                <w:rFonts w:hint="eastAsia"/>
                <w:lang w:val="en-US" w:eastAsia="zh-CN"/>
              </w:rPr>
              <w:t>上海核工厂研究设计院股份有限公司</w:t>
            </w:r>
            <w:bookmarkEnd w:id="3"/>
          </w:p>
        </w:tc>
        <w:tc>
          <w:tcPr>
            <w:tcW w:w="1063" w:type="pct"/>
            <w:vAlign w:val="center"/>
          </w:tcPr>
          <w:p w14:paraId="782C33F1">
            <w:pPr>
              <w:spacing w:line="240" w:lineRule="auto"/>
              <w:jc w:val="center"/>
              <w:rPr>
                <w:rFonts w:cs="Times New Roman"/>
              </w:rPr>
            </w:pPr>
            <w:r>
              <w:rPr>
                <w:rFonts w:hint="eastAsia" w:cs="Times New Roman"/>
              </w:rPr>
              <w:t>参编</w:t>
            </w:r>
          </w:p>
        </w:tc>
      </w:tr>
      <w:tr w14:paraId="1A405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39" w:type="pct"/>
            <w:shd w:val="clear" w:color="auto" w:fill="auto"/>
            <w:vAlign w:val="center"/>
          </w:tcPr>
          <w:p w14:paraId="32B66394">
            <w:pPr>
              <w:spacing w:line="240" w:lineRule="auto"/>
              <w:jc w:val="center"/>
              <w:rPr>
                <w:rFonts w:hint="default" w:ascii="宋体" w:hAnsi="宋体" w:eastAsia="宋体" w:cs="Times New Roman"/>
                <w:kern w:val="2"/>
                <w:sz w:val="24"/>
                <w:szCs w:val="24"/>
                <w:lang w:val="en-US" w:eastAsia="zh-CN" w:bidi="ar-SA"/>
              </w:rPr>
            </w:pPr>
            <w:r>
              <w:rPr>
                <w:rFonts w:hint="eastAsia" w:cs="Times New Roman"/>
                <w:lang w:val="en-US" w:eastAsia="zh-CN"/>
              </w:rPr>
              <w:t>15</w:t>
            </w:r>
          </w:p>
        </w:tc>
        <w:tc>
          <w:tcPr>
            <w:tcW w:w="875" w:type="pct"/>
            <w:vAlign w:val="center"/>
          </w:tcPr>
          <w:p w14:paraId="265487A2">
            <w:pPr>
              <w:spacing w:line="240" w:lineRule="auto"/>
              <w:jc w:val="center"/>
              <w:rPr>
                <w:rFonts w:hint="default" w:eastAsia="宋体"/>
                <w:lang w:val="en-US" w:eastAsia="zh-CN"/>
              </w:rPr>
            </w:pPr>
            <w:r>
              <w:rPr>
                <w:rFonts w:hint="eastAsia"/>
                <w:lang w:val="en-US" w:eastAsia="zh-CN"/>
              </w:rPr>
              <w:t>彭跃</w:t>
            </w:r>
          </w:p>
        </w:tc>
        <w:tc>
          <w:tcPr>
            <w:tcW w:w="2521" w:type="pct"/>
            <w:vAlign w:val="center"/>
          </w:tcPr>
          <w:p w14:paraId="34BB422A">
            <w:pPr>
              <w:spacing w:line="240" w:lineRule="auto"/>
              <w:rPr>
                <w:rFonts w:hint="default" w:eastAsia="宋体"/>
                <w:lang w:val="en-US" w:eastAsia="zh-CN"/>
              </w:rPr>
            </w:pPr>
            <w:r>
              <w:rPr>
                <w:rFonts w:hint="eastAsia" w:cs="Times New Roman"/>
                <w:lang w:val="en-US" w:eastAsia="zh-CN"/>
              </w:rPr>
              <w:t>中广核工程有限公司</w:t>
            </w:r>
          </w:p>
        </w:tc>
        <w:tc>
          <w:tcPr>
            <w:tcW w:w="1063" w:type="pct"/>
            <w:vAlign w:val="center"/>
          </w:tcPr>
          <w:p w14:paraId="36226195">
            <w:pPr>
              <w:spacing w:line="240" w:lineRule="auto"/>
              <w:jc w:val="center"/>
              <w:rPr>
                <w:rFonts w:cs="Times New Roman"/>
              </w:rPr>
            </w:pPr>
            <w:r>
              <w:rPr>
                <w:rFonts w:hint="eastAsia" w:cs="Times New Roman"/>
              </w:rPr>
              <w:t>参编</w:t>
            </w:r>
          </w:p>
        </w:tc>
      </w:tr>
      <w:tr w14:paraId="44131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39" w:type="pct"/>
            <w:shd w:val="clear" w:color="auto" w:fill="auto"/>
            <w:vAlign w:val="center"/>
          </w:tcPr>
          <w:p w14:paraId="7A799755">
            <w:pPr>
              <w:spacing w:line="240" w:lineRule="auto"/>
              <w:jc w:val="center"/>
              <w:rPr>
                <w:rFonts w:hint="default" w:ascii="宋体" w:hAnsi="宋体" w:eastAsia="宋体" w:cs="Times New Roman"/>
                <w:kern w:val="2"/>
                <w:sz w:val="24"/>
                <w:szCs w:val="24"/>
                <w:lang w:val="en-US" w:eastAsia="zh-CN" w:bidi="ar-SA"/>
              </w:rPr>
            </w:pPr>
            <w:r>
              <w:rPr>
                <w:rFonts w:hint="eastAsia" w:cs="Times New Roman"/>
                <w:lang w:val="en-US" w:eastAsia="zh-CN"/>
              </w:rPr>
              <w:t>16</w:t>
            </w:r>
          </w:p>
        </w:tc>
        <w:tc>
          <w:tcPr>
            <w:tcW w:w="875" w:type="pct"/>
            <w:vAlign w:val="center"/>
          </w:tcPr>
          <w:p w14:paraId="60E8E87F">
            <w:pPr>
              <w:spacing w:line="240" w:lineRule="auto"/>
              <w:jc w:val="center"/>
              <w:rPr>
                <w:rFonts w:hint="default"/>
                <w:lang w:val="en-US" w:eastAsia="zh-CN"/>
              </w:rPr>
            </w:pPr>
            <w:r>
              <w:rPr>
                <w:rFonts w:hint="eastAsia"/>
                <w:lang w:val="en-US" w:eastAsia="zh-CN"/>
              </w:rPr>
              <w:t>丘锦萌</w:t>
            </w:r>
          </w:p>
        </w:tc>
        <w:tc>
          <w:tcPr>
            <w:tcW w:w="2521" w:type="pct"/>
            <w:vAlign w:val="center"/>
          </w:tcPr>
          <w:p w14:paraId="6C763DD0">
            <w:pPr>
              <w:spacing w:line="240" w:lineRule="auto"/>
              <w:rPr>
                <w:rFonts w:hint="default" w:eastAsia="宋体" w:cs="Times New Roman"/>
                <w:lang w:val="en-US" w:eastAsia="zh-CN"/>
              </w:rPr>
            </w:pPr>
            <w:r>
              <w:rPr>
                <w:rFonts w:hint="eastAsia" w:cs="Times New Roman"/>
                <w:lang w:val="en-US" w:eastAsia="zh-CN"/>
              </w:rPr>
              <w:t>华龙国际核电技术有限公司</w:t>
            </w:r>
          </w:p>
        </w:tc>
        <w:tc>
          <w:tcPr>
            <w:tcW w:w="1063" w:type="pct"/>
            <w:vAlign w:val="center"/>
          </w:tcPr>
          <w:p w14:paraId="3190B793">
            <w:pPr>
              <w:spacing w:line="240" w:lineRule="auto"/>
              <w:jc w:val="center"/>
              <w:rPr>
                <w:rFonts w:hint="eastAsia" w:ascii="宋体" w:hAnsi="宋体" w:eastAsia="宋体" w:cs="Times New Roman"/>
                <w:kern w:val="2"/>
                <w:sz w:val="24"/>
                <w:szCs w:val="24"/>
                <w:lang w:val="en-US" w:eastAsia="zh-CN" w:bidi="ar-SA"/>
              </w:rPr>
            </w:pPr>
            <w:r>
              <w:rPr>
                <w:rFonts w:hint="eastAsia" w:cs="Times New Roman"/>
              </w:rPr>
              <w:t>参编</w:t>
            </w:r>
          </w:p>
        </w:tc>
      </w:tr>
      <w:tr w14:paraId="4D1EE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39" w:type="pct"/>
            <w:shd w:val="clear" w:color="auto" w:fill="auto"/>
            <w:vAlign w:val="center"/>
          </w:tcPr>
          <w:p w14:paraId="4638BC07">
            <w:pPr>
              <w:spacing w:line="240" w:lineRule="auto"/>
              <w:jc w:val="center"/>
              <w:rPr>
                <w:rFonts w:hint="default" w:ascii="宋体" w:hAnsi="宋体" w:eastAsia="宋体" w:cs="Times New Roman"/>
                <w:kern w:val="2"/>
                <w:sz w:val="24"/>
                <w:szCs w:val="24"/>
                <w:lang w:val="en-US" w:eastAsia="zh-CN" w:bidi="ar-SA"/>
              </w:rPr>
            </w:pPr>
            <w:r>
              <w:rPr>
                <w:rFonts w:hint="eastAsia" w:cs="Times New Roman"/>
                <w:lang w:val="en-US" w:eastAsia="zh-CN"/>
              </w:rPr>
              <w:t>17</w:t>
            </w:r>
          </w:p>
        </w:tc>
        <w:tc>
          <w:tcPr>
            <w:tcW w:w="875" w:type="pct"/>
            <w:vAlign w:val="center"/>
          </w:tcPr>
          <w:p w14:paraId="57401228">
            <w:pPr>
              <w:spacing w:line="240" w:lineRule="auto"/>
              <w:jc w:val="center"/>
              <w:rPr>
                <w:rFonts w:hint="default"/>
                <w:lang w:val="en-US" w:eastAsia="zh-CN"/>
              </w:rPr>
            </w:pPr>
            <w:r>
              <w:rPr>
                <w:rFonts w:hint="eastAsia"/>
                <w:lang w:val="en-US" w:eastAsia="zh-CN"/>
              </w:rPr>
              <w:t>顾汉洋</w:t>
            </w:r>
          </w:p>
        </w:tc>
        <w:tc>
          <w:tcPr>
            <w:tcW w:w="2521" w:type="pct"/>
            <w:vAlign w:val="center"/>
          </w:tcPr>
          <w:p w14:paraId="18A801C3">
            <w:pPr>
              <w:spacing w:line="240" w:lineRule="auto"/>
              <w:rPr>
                <w:rFonts w:hint="default" w:eastAsia="宋体" w:cs="Times New Roman"/>
                <w:lang w:val="en-US" w:eastAsia="zh-CN"/>
              </w:rPr>
            </w:pPr>
            <w:r>
              <w:rPr>
                <w:rFonts w:hint="eastAsia" w:cs="Times New Roman"/>
                <w:lang w:val="en-US" w:eastAsia="zh-CN"/>
              </w:rPr>
              <w:t>上海交通大学</w:t>
            </w:r>
          </w:p>
        </w:tc>
        <w:tc>
          <w:tcPr>
            <w:tcW w:w="1063" w:type="pct"/>
            <w:vAlign w:val="center"/>
          </w:tcPr>
          <w:p w14:paraId="2980B7C2">
            <w:pPr>
              <w:spacing w:line="240" w:lineRule="auto"/>
              <w:jc w:val="center"/>
              <w:rPr>
                <w:rFonts w:hint="eastAsia" w:ascii="宋体" w:hAnsi="宋体" w:eastAsia="宋体" w:cs="Times New Roman"/>
                <w:kern w:val="2"/>
                <w:sz w:val="24"/>
                <w:szCs w:val="24"/>
                <w:lang w:val="en-US" w:eastAsia="zh-CN" w:bidi="ar-SA"/>
              </w:rPr>
            </w:pPr>
            <w:r>
              <w:rPr>
                <w:rFonts w:hint="eastAsia" w:cs="Times New Roman"/>
              </w:rPr>
              <w:t>参编</w:t>
            </w:r>
          </w:p>
        </w:tc>
      </w:tr>
      <w:tr w14:paraId="550C3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39" w:type="pct"/>
            <w:shd w:val="clear" w:color="auto" w:fill="auto"/>
            <w:vAlign w:val="center"/>
          </w:tcPr>
          <w:p w14:paraId="260B449F">
            <w:pPr>
              <w:spacing w:line="240" w:lineRule="auto"/>
              <w:jc w:val="center"/>
              <w:rPr>
                <w:rFonts w:hint="default" w:ascii="宋体" w:hAnsi="宋体" w:eastAsia="宋体" w:cs="Times New Roman"/>
                <w:kern w:val="2"/>
                <w:sz w:val="24"/>
                <w:szCs w:val="24"/>
                <w:lang w:val="en-US" w:eastAsia="zh-CN" w:bidi="ar-SA"/>
              </w:rPr>
            </w:pPr>
            <w:r>
              <w:rPr>
                <w:rFonts w:hint="eastAsia" w:cs="Times New Roman"/>
                <w:lang w:val="en-US" w:eastAsia="zh-CN"/>
              </w:rPr>
              <w:t>18</w:t>
            </w:r>
          </w:p>
        </w:tc>
        <w:tc>
          <w:tcPr>
            <w:tcW w:w="875" w:type="pct"/>
            <w:vAlign w:val="center"/>
          </w:tcPr>
          <w:p w14:paraId="6723CFC6">
            <w:pPr>
              <w:spacing w:line="240" w:lineRule="auto"/>
              <w:jc w:val="center"/>
              <w:rPr>
                <w:rFonts w:hint="default"/>
                <w:lang w:val="en-US" w:eastAsia="zh-CN"/>
              </w:rPr>
            </w:pPr>
            <w:r>
              <w:rPr>
                <w:rFonts w:hint="eastAsia"/>
                <w:lang w:val="en-US" w:eastAsia="zh-CN"/>
              </w:rPr>
              <w:t>秋穗正</w:t>
            </w:r>
          </w:p>
        </w:tc>
        <w:tc>
          <w:tcPr>
            <w:tcW w:w="2521" w:type="pct"/>
            <w:vAlign w:val="center"/>
          </w:tcPr>
          <w:p w14:paraId="2DFF253F">
            <w:pPr>
              <w:spacing w:line="240" w:lineRule="auto"/>
              <w:rPr>
                <w:rFonts w:hint="default" w:cs="Times New Roman"/>
                <w:lang w:val="en-US" w:eastAsia="zh-CN"/>
              </w:rPr>
            </w:pPr>
            <w:r>
              <w:rPr>
                <w:rFonts w:hint="eastAsia" w:cs="Times New Roman"/>
                <w:lang w:val="en-US" w:eastAsia="zh-CN"/>
              </w:rPr>
              <w:t>西安交通大学</w:t>
            </w:r>
          </w:p>
        </w:tc>
        <w:tc>
          <w:tcPr>
            <w:tcW w:w="1063" w:type="pct"/>
            <w:vAlign w:val="center"/>
          </w:tcPr>
          <w:p w14:paraId="0F40F902">
            <w:pPr>
              <w:spacing w:line="240" w:lineRule="auto"/>
              <w:jc w:val="center"/>
              <w:rPr>
                <w:rFonts w:hint="eastAsia" w:ascii="宋体" w:hAnsi="宋体" w:eastAsia="宋体" w:cs="Times New Roman"/>
                <w:kern w:val="2"/>
                <w:sz w:val="24"/>
                <w:szCs w:val="24"/>
                <w:lang w:val="en-US" w:eastAsia="zh-CN" w:bidi="ar-SA"/>
              </w:rPr>
            </w:pPr>
            <w:r>
              <w:rPr>
                <w:rFonts w:hint="eastAsia" w:cs="Times New Roman"/>
              </w:rPr>
              <w:t>参编</w:t>
            </w:r>
          </w:p>
        </w:tc>
      </w:tr>
      <w:tr w14:paraId="6E161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39" w:type="pct"/>
            <w:shd w:val="clear" w:color="auto" w:fill="auto"/>
            <w:vAlign w:val="center"/>
          </w:tcPr>
          <w:p w14:paraId="48BDCCE4">
            <w:pPr>
              <w:spacing w:line="240" w:lineRule="auto"/>
              <w:jc w:val="center"/>
              <w:rPr>
                <w:rFonts w:hint="default" w:ascii="宋体" w:hAnsi="宋体" w:eastAsia="宋体" w:cs="Times New Roman"/>
                <w:kern w:val="2"/>
                <w:sz w:val="24"/>
                <w:szCs w:val="24"/>
                <w:lang w:val="en-US" w:eastAsia="zh-CN" w:bidi="ar-SA"/>
              </w:rPr>
            </w:pPr>
            <w:r>
              <w:rPr>
                <w:rFonts w:hint="eastAsia" w:cs="Times New Roman"/>
                <w:lang w:val="en-US" w:eastAsia="zh-CN"/>
              </w:rPr>
              <w:t>19</w:t>
            </w:r>
          </w:p>
        </w:tc>
        <w:tc>
          <w:tcPr>
            <w:tcW w:w="875" w:type="pct"/>
            <w:vAlign w:val="center"/>
          </w:tcPr>
          <w:p w14:paraId="303DC110">
            <w:pPr>
              <w:spacing w:line="240" w:lineRule="auto"/>
              <w:jc w:val="center"/>
              <w:rPr>
                <w:rFonts w:hint="default"/>
                <w:lang w:val="en-US" w:eastAsia="zh-CN"/>
              </w:rPr>
            </w:pPr>
            <w:r>
              <w:rPr>
                <w:rFonts w:hint="eastAsia"/>
                <w:lang w:val="en-US" w:eastAsia="zh-CN"/>
              </w:rPr>
              <w:t>刘国栋</w:t>
            </w:r>
          </w:p>
        </w:tc>
        <w:tc>
          <w:tcPr>
            <w:tcW w:w="2521" w:type="pct"/>
            <w:vAlign w:val="center"/>
          </w:tcPr>
          <w:p w14:paraId="5DBA6CD5">
            <w:pPr>
              <w:spacing w:line="240" w:lineRule="auto"/>
              <w:rPr>
                <w:rFonts w:hint="default" w:cs="Times New Roman"/>
                <w:lang w:val="en-US" w:eastAsia="zh-CN"/>
              </w:rPr>
            </w:pPr>
            <w:r>
              <w:rPr>
                <w:rFonts w:hint="eastAsia" w:cs="Times New Roman"/>
                <w:lang w:val="en-US" w:eastAsia="zh-CN"/>
              </w:rPr>
              <w:t>哈尔滨工业大学</w:t>
            </w:r>
          </w:p>
        </w:tc>
        <w:tc>
          <w:tcPr>
            <w:tcW w:w="1063" w:type="pct"/>
            <w:vAlign w:val="center"/>
          </w:tcPr>
          <w:p w14:paraId="36318964">
            <w:pPr>
              <w:spacing w:line="240" w:lineRule="auto"/>
              <w:jc w:val="center"/>
              <w:rPr>
                <w:rFonts w:hint="eastAsia" w:ascii="宋体" w:hAnsi="宋体" w:eastAsia="宋体" w:cs="Times New Roman"/>
                <w:kern w:val="2"/>
                <w:sz w:val="24"/>
                <w:szCs w:val="24"/>
                <w:lang w:val="en-US" w:eastAsia="zh-CN" w:bidi="ar-SA"/>
              </w:rPr>
            </w:pPr>
            <w:r>
              <w:rPr>
                <w:rFonts w:hint="eastAsia" w:cs="Times New Roman"/>
              </w:rPr>
              <w:t>参编</w:t>
            </w:r>
          </w:p>
        </w:tc>
      </w:tr>
      <w:tr w14:paraId="22950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39" w:type="pct"/>
            <w:shd w:val="clear" w:color="auto" w:fill="auto"/>
            <w:vAlign w:val="center"/>
          </w:tcPr>
          <w:p w14:paraId="6C02E342">
            <w:pPr>
              <w:spacing w:line="240" w:lineRule="auto"/>
              <w:jc w:val="center"/>
              <w:rPr>
                <w:rFonts w:hint="default" w:ascii="宋体" w:hAnsi="宋体" w:eastAsia="宋体" w:cs="Times New Roman"/>
                <w:kern w:val="2"/>
                <w:sz w:val="24"/>
                <w:szCs w:val="24"/>
                <w:lang w:val="en-US" w:eastAsia="zh-CN" w:bidi="ar-SA"/>
              </w:rPr>
            </w:pPr>
            <w:r>
              <w:rPr>
                <w:rFonts w:hint="eastAsia" w:cs="Times New Roman"/>
                <w:lang w:val="en-US" w:eastAsia="zh-CN"/>
              </w:rPr>
              <w:t>20</w:t>
            </w:r>
          </w:p>
        </w:tc>
        <w:tc>
          <w:tcPr>
            <w:tcW w:w="875" w:type="pct"/>
            <w:vAlign w:val="center"/>
          </w:tcPr>
          <w:p w14:paraId="6F343710">
            <w:pPr>
              <w:spacing w:line="240" w:lineRule="auto"/>
              <w:jc w:val="center"/>
              <w:rPr>
                <w:rFonts w:hint="default"/>
                <w:lang w:val="en-US" w:eastAsia="zh-CN"/>
              </w:rPr>
            </w:pPr>
            <w:r>
              <w:rPr>
                <w:rFonts w:hint="eastAsia"/>
                <w:lang w:val="en-US" w:eastAsia="zh-CN"/>
              </w:rPr>
              <w:t>谭思超</w:t>
            </w:r>
          </w:p>
        </w:tc>
        <w:tc>
          <w:tcPr>
            <w:tcW w:w="2521" w:type="pct"/>
            <w:vAlign w:val="center"/>
          </w:tcPr>
          <w:p w14:paraId="3E015EF5">
            <w:pPr>
              <w:spacing w:line="240" w:lineRule="auto"/>
              <w:rPr>
                <w:rFonts w:hint="default" w:cs="Times New Roman"/>
                <w:lang w:val="en-US" w:eastAsia="zh-CN"/>
              </w:rPr>
            </w:pPr>
            <w:r>
              <w:rPr>
                <w:rFonts w:hint="eastAsia" w:cs="Times New Roman"/>
                <w:lang w:val="en-US" w:eastAsia="zh-CN"/>
              </w:rPr>
              <w:t>哈尔滨工程大学</w:t>
            </w:r>
          </w:p>
        </w:tc>
        <w:tc>
          <w:tcPr>
            <w:tcW w:w="1063" w:type="pct"/>
            <w:vAlign w:val="center"/>
          </w:tcPr>
          <w:p w14:paraId="7E4D7481">
            <w:pPr>
              <w:spacing w:line="240" w:lineRule="auto"/>
              <w:jc w:val="center"/>
              <w:rPr>
                <w:rFonts w:hint="eastAsia" w:ascii="宋体" w:hAnsi="宋体" w:eastAsia="宋体" w:cs="Times New Roman"/>
                <w:kern w:val="2"/>
                <w:sz w:val="24"/>
                <w:szCs w:val="24"/>
                <w:lang w:val="en-US" w:eastAsia="zh-CN" w:bidi="ar-SA"/>
              </w:rPr>
            </w:pPr>
            <w:r>
              <w:rPr>
                <w:rFonts w:hint="eastAsia" w:cs="Times New Roman"/>
              </w:rPr>
              <w:t>参编</w:t>
            </w:r>
          </w:p>
        </w:tc>
      </w:tr>
      <w:tr w14:paraId="1B4EA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39" w:type="pct"/>
            <w:vAlign w:val="center"/>
          </w:tcPr>
          <w:p w14:paraId="4935AA76">
            <w:pPr>
              <w:spacing w:line="240" w:lineRule="auto"/>
              <w:jc w:val="center"/>
              <w:rPr>
                <w:rFonts w:hint="default" w:cs="Times New Roman"/>
                <w:lang w:val="en-US" w:eastAsia="zh-CN"/>
              </w:rPr>
            </w:pPr>
            <w:r>
              <w:rPr>
                <w:rFonts w:hint="eastAsia" w:cs="Times New Roman"/>
                <w:lang w:val="en-US" w:eastAsia="zh-CN"/>
              </w:rPr>
              <w:t>21</w:t>
            </w:r>
          </w:p>
        </w:tc>
        <w:tc>
          <w:tcPr>
            <w:tcW w:w="875" w:type="pct"/>
            <w:vAlign w:val="center"/>
          </w:tcPr>
          <w:p w14:paraId="0C3741F2">
            <w:pPr>
              <w:spacing w:line="240" w:lineRule="auto"/>
              <w:jc w:val="center"/>
              <w:rPr>
                <w:rFonts w:hint="default"/>
                <w:lang w:val="en-US" w:eastAsia="zh-CN"/>
              </w:rPr>
            </w:pPr>
            <w:r>
              <w:rPr>
                <w:rFonts w:hint="eastAsia"/>
                <w:lang w:val="en-US" w:eastAsia="zh-CN"/>
              </w:rPr>
              <w:t>牛婷婷</w:t>
            </w:r>
          </w:p>
        </w:tc>
        <w:tc>
          <w:tcPr>
            <w:tcW w:w="2521" w:type="pct"/>
            <w:vAlign w:val="center"/>
          </w:tcPr>
          <w:p w14:paraId="600C19BF">
            <w:pPr>
              <w:spacing w:line="240" w:lineRule="auto"/>
              <w:rPr>
                <w:rFonts w:hint="eastAsia" w:cs="Times New Roman"/>
                <w:lang w:val="en-US" w:eastAsia="zh-CN"/>
              </w:rPr>
            </w:pPr>
            <w:r>
              <w:rPr>
                <w:rFonts w:hint="eastAsia"/>
                <w:lang w:val="en-US" w:eastAsia="zh-CN"/>
              </w:rPr>
              <w:t>上海核工厂研究设计院股份有限公司</w:t>
            </w:r>
          </w:p>
        </w:tc>
        <w:tc>
          <w:tcPr>
            <w:tcW w:w="1063" w:type="pct"/>
            <w:vAlign w:val="center"/>
          </w:tcPr>
          <w:p w14:paraId="469FD547">
            <w:pPr>
              <w:spacing w:line="240" w:lineRule="auto"/>
              <w:jc w:val="center"/>
              <w:rPr>
                <w:rFonts w:hint="eastAsia" w:ascii="宋体" w:hAnsi="宋体" w:eastAsia="宋体" w:cs="Times New Roman"/>
                <w:kern w:val="2"/>
                <w:sz w:val="24"/>
                <w:szCs w:val="24"/>
                <w:lang w:val="en-US" w:eastAsia="zh-CN" w:bidi="ar-SA"/>
              </w:rPr>
            </w:pPr>
            <w:r>
              <w:rPr>
                <w:rFonts w:hint="eastAsia" w:cs="Times New Roman"/>
              </w:rPr>
              <w:t>参编</w:t>
            </w:r>
          </w:p>
        </w:tc>
      </w:tr>
    </w:tbl>
    <w:p w14:paraId="446C53B7">
      <w:pPr>
        <w:outlineLvl w:val="0"/>
        <w:rPr>
          <w:b/>
          <w:sz w:val="28"/>
          <w:szCs w:val="28"/>
        </w:rPr>
      </w:pPr>
      <w:r>
        <w:rPr>
          <w:rFonts w:hint="eastAsia"/>
          <w:b/>
          <w:sz w:val="28"/>
          <w:szCs w:val="28"/>
        </w:rPr>
        <w:t>二、标准编制原则和主要内容</w:t>
      </w:r>
    </w:p>
    <w:p w14:paraId="2942C97E">
      <w:pPr>
        <w:rPr>
          <w:b/>
        </w:rPr>
      </w:pPr>
      <w:r>
        <w:rPr>
          <w:rFonts w:hint="eastAsia"/>
          <w:b/>
        </w:rPr>
        <w:t>1、标准编制原则</w:t>
      </w:r>
    </w:p>
    <w:p w14:paraId="53082707">
      <w:pPr>
        <w:keepNext w:val="0"/>
        <w:keepLines w:val="0"/>
        <w:pageBreakBefore w:val="0"/>
        <w:widowControl/>
        <w:kinsoku/>
        <w:wordWrap/>
        <w:overflowPunct/>
        <w:topLinePunct w:val="0"/>
        <w:autoSpaceDE/>
        <w:autoSpaceDN/>
        <w:bidi w:val="0"/>
        <w:adjustRightInd/>
        <w:snapToGrid/>
        <w:ind w:firstLine="480" w:firstLineChars="200"/>
        <w:textAlignment w:val="auto"/>
        <w:rPr>
          <w:i/>
        </w:rPr>
      </w:pPr>
      <w:r>
        <w:rPr>
          <w:rFonts w:hint="eastAsia"/>
          <w:lang w:eastAsia="zh-CN"/>
        </w:rPr>
        <w:t>本</w:t>
      </w:r>
      <w:r>
        <w:rPr>
          <w:rFonts w:hint="eastAsia"/>
        </w:rPr>
        <w:t>标准编制遵照国家核安全技术法规导则，并与现行相关标准协调一致，</w:t>
      </w:r>
      <w:r>
        <w:rPr>
          <w:rFonts w:hint="eastAsia"/>
          <w:lang w:eastAsia="zh-CN"/>
        </w:rPr>
        <w:t>编制工作</w:t>
      </w:r>
      <w:r>
        <w:rPr>
          <w:rFonts w:hint="eastAsia"/>
        </w:rPr>
        <w:t>本着先进性、科学性、合理性和</w:t>
      </w:r>
      <w:r>
        <w:rPr>
          <w:rFonts w:hint="eastAsia"/>
          <w:lang w:eastAsia="zh-CN"/>
        </w:rPr>
        <w:t>可操作性以及</w:t>
      </w:r>
      <w:r>
        <w:rPr>
          <w:rFonts w:hint="eastAsia"/>
        </w:rPr>
        <w:t>目标</w:t>
      </w:r>
      <w:r>
        <w:rPr>
          <w:rFonts w:hint="eastAsia"/>
          <w:lang w:eastAsia="zh-CN"/>
        </w:rPr>
        <w:t>明确</w:t>
      </w:r>
      <w:r>
        <w:rPr>
          <w:rFonts w:hint="eastAsia"/>
        </w:rPr>
        <w:t>、</w:t>
      </w:r>
      <w:r>
        <w:rPr>
          <w:rFonts w:hint="eastAsia"/>
          <w:lang w:eastAsia="zh-CN"/>
        </w:rPr>
        <w:t>统一协调</w:t>
      </w:r>
      <w:r>
        <w:t>、</w:t>
      </w:r>
      <w:r>
        <w:rPr>
          <w:rFonts w:hint="eastAsia"/>
          <w:lang w:eastAsia="zh-CN"/>
        </w:rPr>
        <w:t>实用规范的原则进行</w:t>
      </w:r>
      <w:r>
        <w:rPr>
          <w:rFonts w:hint="eastAsia"/>
        </w:rPr>
        <w:t>。</w:t>
      </w:r>
    </w:p>
    <w:p w14:paraId="6D37BF53">
      <w:pPr>
        <w:rPr>
          <w:i w:val="0"/>
          <w:iCs/>
        </w:rPr>
      </w:pPr>
      <w:r>
        <w:rPr>
          <w:rFonts w:hint="eastAsia"/>
          <w:i w:val="0"/>
          <w:iCs/>
        </w:rPr>
        <w:t>（</w:t>
      </w:r>
      <w:r>
        <w:rPr>
          <w:i w:val="0"/>
          <w:iCs/>
        </w:rPr>
        <w:t>1）科学性</w:t>
      </w:r>
    </w:p>
    <w:p w14:paraId="2DEFA21C">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i w:val="0"/>
          <w:iCs/>
        </w:rPr>
      </w:pPr>
      <w:r>
        <w:rPr>
          <w:rFonts w:hint="eastAsia"/>
          <w:i w:val="0"/>
          <w:iCs/>
        </w:rPr>
        <w:t>本标准的制定，采用广泛调研、自主化为主的思路，通过调研核电领域、海洋工程领域的标准要求，结合国内核电行业的研究积累以及船舶行业实践经验，形成标准内容。本标准对不同标准体系和非核电行业标准的调研范围</w:t>
      </w:r>
      <w:r>
        <w:rPr>
          <w:rFonts w:hint="eastAsia"/>
          <w:i w:val="0"/>
          <w:iCs/>
          <w:lang w:eastAsia="zh-CN"/>
        </w:rPr>
        <w:t>具体</w:t>
      </w:r>
      <w:r>
        <w:rPr>
          <w:rFonts w:hint="eastAsia"/>
          <w:i w:val="0"/>
          <w:iCs/>
        </w:rPr>
        <w:t>如下：</w:t>
      </w:r>
    </w:p>
    <w:p w14:paraId="17743FEF">
      <w:pPr>
        <w:numPr>
          <w:ilvl w:val="0"/>
          <w:numId w:val="1"/>
        </w:numPr>
        <w:ind w:left="420" w:leftChars="0" w:hanging="420" w:firstLineChars="0"/>
        <w:outlineLvl w:val="0"/>
        <w:rPr>
          <w:rFonts w:hint="eastAsia"/>
        </w:rPr>
      </w:pPr>
      <w:r>
        <w:rPr>
          <w:rFonts w:hint="eastAsia"/>
          <w:highlight w:val="none"/>
        </w:rPr>
        <w:t>核电领域相关</w:t>
      </w:r>
      <w:r>
        <w:rPr>
          <w:rFonts w:hint="eastAsia"/>
          <w:highlight w:val="none"/>
          <w:lang w:val="en-US" w:eastAsia="zh-CN"/>
        </w:rPr>
        <w:t>标准，包括</w:t>
      </w:r>
      <w:r>
        <w:rPr>
          <w:rFonts w:hint="eastAsia"/>
          <w:highlight w:val="none"/>
          <w:lang w:eastAsia="zh-CN"/>
        </w:rPr>
        <w:t>GB/T 13284.1-2008《核电厂安全系统 第1部分：设计准则》、GB/T 13626-2021《单一故障准则应用于核电厂安全系统》、GB/T 5204-2021《核电厂安全系统定期试验与监测》、</w:t>
      </w:r>
      <w:r>
        <w:rPr>
          <w:rFonts w:hint="eastAsia"/>
          <w:highlight w:val="none"/>
          <w:lang w:val="en-US" w:eastAsia="zh-CN"/>
        </w:rPr>
        <w:t>HAF 102-2016《核动力厂设计安全规定》、HAD10203-2025《核动力厂构筑物、系统和部件的安全分级》、GB/T13285-1999 《核电厂安全重要系统和部件的实体保护》、NBT+20231-2023《压水堆核电厂专设安全设施设计准则》等；EJ/T331 《失水事故后流体系统的安全壳隔离装置》。</w:t>
      </w:r>
    </w:p>
    <w:p w14:paraId="77A24451">
      <w:pPr>
        <w:numPr>
          <w:ilvl w:val="0"/>
          <w:numId w:val="1"/>
        </w:numPr>
        <w:ind w:left="420" w:leftChars="0" w:hanging="420" w:firstLineChars="0"/>
        <w:outlineLvl w:val="0"/>
        <w:rPr>
          <w:rFonts w:hint="eastAsia"/>
        </w:rPr>
      </w:pPr>
      <w:r>
        <w:rPr>
          <w:rFonts w:hint="eastAsia"/>
        </w:rPr>
        <w:t>海洋工程领域相关标准，</w:t>
      </w:r>
      <w:r>
        <w:rPr>
          <w:rFonts w:hint="eastAsia"/>
          <w:lang w:val="en-US" w:eastAsia="zh-CN"/>
        </w:rPr>
        <w:t>包括</w:t>
      </w:r>
      <w:r>
        <w:rPr>
          <w:rFonts w:hint="eastAsia"/>
          <w:lang w:eastAsia="zh-CN"/>
        </w:rPr>
        <w:t>GJB 843.7A-2003《潜艇核动力装置设计安全规定 潜艇核动力装置安全功能和设备分级》、</w:t>
      </w:r>
      <w:r>
        <w:rPr>
          <w:rFonts w:hint="eastAsia"/>
          <w:lang w:val="en-US" w:eastAsia="zh-CN"/>
        </w:rPr>
        <w:t>GJB 843.8-1991《潜艇核动力装置设计安全规定 反应堆舱及其系统设计准则》等。</w:t>
      </w:r>
    </w:p>
    <w:p w14:paraId="7D73D67E">
      <w:pPr>
        <w:rPr>
          <w:i w:val="0"/>
          <w:iCs/>
        </w:rPr>
      </w:pPr>
      <w:r>
        <w:rPr>
          <w:rFonts w:hint="eastAsia"/>
          <w:i w:val="0"/>
          <w:iCs/>
        </w:rPr>
        <w:t>（</w:t>
      </w:r>
      <w:r>
        <w:rPr>
          <w:i w:val="0"/>
          <w:iCs/>
        </w:rPr>
        <w:t>2）实用性</w:t>
      </w:r>
    </w:p>
    <w:p w14:paraId="23D79B64">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i w:val="0"/>
          <w:iCs/>
        </w:rPr>
        <w:t>本标准规定了海洋核动力</w:t>
      </w:r>
      <w:r>
        <w:rPr>
          <w:rFonts w:hint="eastAsia"/>
          <w:i w:val="0"/>
          <w:iCs/>
          <w:lang w:val="en-US" w:eastAsia="zh-CN"/>
        </w:rPr>
        <w:t>安全壳抑压系统</w:t>
      </w:r>
      <w:r>
        <w:rPr>
          <w:rFonts w:hint="eastAsia"/>
          <w:i w:val="0"/>
          <w:iCs/>
        </w:rPr>
        <w:t>设计的基本要求，主要包括</w:t>
      </w:r>
      <w:r>
        <w:rPr>
          <w:rFonts w:hint="eastAsia"/>
          <w:i w:val="0"/>
          <w:iCs/>
          <w:lang w:eastAsia="zh-CN"/>
        </w:rPr>
        <w:t>：</w:t>
      </w:r>
      <w:r>
        <w:rPr>
          <w:rFonts w:hint="eastAsia"/>
          <w:lang w:val="en-US" w:eastAsia="zh-CN"/>
        </w:rPr>
        <w:t>系统功能内容（安全功能和其他功能）；为满足系统功能所需的设计要求，包括安全等级、系统设计、设备设计、机械设计、电气设计、仪控设计、接口设计、布置要求和试验与维修要求。</w:t>
      </w:r>
    </w:p>
    <w:p w14:paraId="11ED1B60">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eastAsia="宋体"/>
          <w:i w:val="0"/>
          <w:iCs/>
          <w:lang w:val="en-US" w:eastAsia="zh-CN"/>
        </w:rPr>
      </w:pPr>
      <w:r>
        <w:rPr>
          <w:rFonts w:hint="eastAsia"/>
          <w:i w:val="0"/>
          <w:iCs/>
          <w:lang w:val="en-US" w:eastAsia="zh-CN"/>
        </w:rPr>
        <w:t>我国尚无抑压系统国家或行业标准，以上标准</w:t>
      </w:r>
      <w:r>
        <w:rPr>
          <w:rFonts w:hint="eastAsia"/>
          <w:i w:val="0"/>
          <w:iCs/>
        </w:rPr>
        <w:t>用于</w:t>
      </w:r>
      <w:r>
        <w:rPr>
          <w:rFonts w:hint="eastAsia"/>
          <w:i w:val="0"/>
          <w:iCs/>
          <w:lang w:val="en-US" w:eastAsia="zh-CN"/>
        </w:rPr>
        <w:t>在某个侧面</w:t>
      </w:r>
      <w:r>
        <w:rPr>
          <w:rFonts w:hint="eastAsia"/>
          <w:i w:val="0"/>
          <w:iCs/>
        </w:rPr>
        <w:t>指导</w:t>
      </w:r>
      <w:r>
        <w:rPr>
          <w:rFonts w:hint="eastAsia"/>
          <w:i w:val="0"/>
          <w:iCs/>
          <w:lang w:val="en-US" w:eastAsia="zh-CN"/>
        </w:rPr>
        <w:t>制定本设计准则。</w:t>
      </w:r>
    </w:p>
    <w:p w14:paraId="6D615B48">
      <w:pPr>
        <w:rPr>
          <w:b/>
        </w:rPr>
      </w:pPr>
      <w:r>
        <w:rPr>
          <w:rFonts w:hint="eastAsia"/>
          <w:b/>
        </w:rPr>
        <w:t>2、标准主要内容的依据</w:t>
      </w:r>
    </w:p>
    <w:p w14:paraId="1B6CB34C">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rPr>
      </w:pPr>
      <w:r>
        <w:rPr>
          <w:rFonts w:hint="eastAsia"/>
        </w:rPr>
        <w:t>本系列标准依据GB/T 1.1—2020《标准化工作导则 第1部分：标准化文件的结构和起草规则》中规定的编写规则进行编写。</w:t>
      </w:r>
    </w:p>
    <w:p w14:paraId="608E24A6">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rPr>
      </w:pPr>
      <w:r>
        <w:rPr>
          <w:rFonts w:hint="eastAsia"/>
        </w:rPr>
        <w:t>本标准提供了海洋核动力平台内</w:t>
      </w:r>
      <w:r>
        <w:rPr>
          <w:rFonts w:hint="eastAsia"/>
          <w:lang w:val="en-US" w:eastAsia="zh-CN"/>
        </w:rPr>
        <w:t>安全壳抑压系统设计准则</w:t>
      </w:r>
      <w:r>
        <w:rPr>
          <w:rFonts w:hint="eastAsia"/>
        </w:rPr>
        <w:t>的基本要求和设计指导，由</w:t>
      </w:r>
      <w:r>
        <w:rPr>
          <w:rFonts w:hint="eastAsia"/>
          <w:lang w:val="en-US" w:eastAsia="zh-CN"/>
        </w:rPr>
        <w:t>7</w:t>
      </w:r>
      <w:r>
        <w:rPr>
          <w:rFonts w:hint="eastAsia"/>
        </w:rPr>
        <w:t>个章节组成，具体如下：</w:t>
      </w:r>
    </w:p>
    <w:p w14:paraId="4D016CCA">
      <w:pPr>
        <w:ind w:firstLine="480" w:firstLineChars="200"/>
        <w:rPr>
          <w:rFonts w:cs="Times New Roman"/>
        </w:rPr>
      </w:pPr>
      <w:r>
        <w:rPr>
          <w:rFonts w:cs="Times New Roman"/>
        </w:rPr>
        <w:t>——第1</w:t>
      </w:r>
      <w:r>
        <w:rPr>
          <w:rFonts w:hint="eastAsia" w:cs="Times New Roman"/>
          <w:lang w:val="en-US" w:eastAsia="zh-CN"/>
        </w:rPr>
        <w:t>章</w:t>
      </w:r>
      <w:r>
        <w:rPr>
          <w:rFonts w:cs="Times New Roman"/>
        </w:rPr>
        <w:t>：</w:t>
      </w:r>
      <w:r>
        <w:rPr>
          <w:rFonts w:hint="eastAsia" w:cs="Times New Roman"/>
        </w:rPr>
        <w:t>范围</w:t>
      </w:r>
    </w:p>
    <w:p w14:paraId="4BE1657B">
      <w:pPr>
        <w:ind w:firstLine="480" w:firstLineChars="200"/>
        <w:rPr>
          <w:rFonts w:cs="Times New Roman"/>
        </w:rPr>
      </w:pPr>
      <w:r>
        <w:rPr>
          <w:rFonts w:cs="Times New Roman"/>
        </w:rPr>
        <w:t>——第2</w:t>
      </w:r>
      <w:r>
        <w:rPr>
          <w:rFonts w:hint="eastAsia" w:cs="Times New Roman"/>
          <w:lang w:val="en-US" w:eastAsia="zh-CN"/>
        </w:rPr>
        <w:t>章</w:t>
      </w:r>
      <w:r>
        <w:rPr>
          <w:rFonts w:cs="Times New Roman"/>
        </w:rPr>
        <w:t>：</w:t>
      </w:r>
      <w:r>
        <w:rPr>
          <w:rFonts w:hint="eastAsia" w:cs="Times New Roman"/>
        </w:rPr>
        <w:t>规范性引用文件</w:t>
      </w:r>
    </w:p>
    <w:p w14:paraId="53292C72">
      <w:pPr>
        <w:ind w:firstLine="480" w:firstLineChars="200"/>
        <w:rPr>
          <w:rFonts w:cs="Times New Roman"/>
        </w:rPr>
      </w:pPr>
      <w:r>
        <w:rPr>
          <w:rFonts w:cs="Times New Roman"/>
        </w:rPr>
        <w:t>——第3</w:t>
      </w:r>
      <w:r>
        <w:rPr>
          <w:rFonts w:hint="eastAsia" w:cs="Times New Roman"/>
          <w:lang w:val="en-US" w:eastAsia="zh-CN"/>
        </w:rPr>
        <w:t>章</w:t>
      </w:r>
      <w:r>
        <w:rPr>
          <w:rFonts w:cs="Times New Roman"/>
        </w:rPr>
        <w:t>：</w:t>
      </w:r>
      <w:r>
        <w:rPr>
          <w:rFonts w:hint="eastAsia" w:cs="Times New Roman"/>
        </w:rPr>
        <w:t>术语和定义</w:t>
      </w:r>
    </w:p>
    <w:p w14:paraId="181BBA89">
      <w:pPr>
        <w:ind w:firstLine="480" w:firstLineChars="200"/>
        <w:rPr>
          <w:rFonts w:hint="default" w:eastAsia="宋体" w:cs="Times New Roman"/>
          <w:lang w:val="en-US" w:eastAsia="zh-CN"/>
        </w:rPr>
      </w:pPr>
      <w:r>
        <w:rPr>
          <w:rFonts w:cs="Times New Roman"/>
        </w:rPr>
        <w:t>——第4</w:t>
      </w:r>
      <w:r>
        <w:rPr>
          <w:rFonts w:hint="eastAsia" w:cs="Times New Roman"/>
          <w:lang w:val="en-US" w:eastAsia="zh-CN"/>
        </w:rPr>
        <w:t>章</w:t>
      </w:r>
      <w:r>
        <w:rPr>
          <w:rFonts w:cs="Times New Roman"/>
        </w:rPr>
        <w:t>：</w:t>
      </w:r>
      <w:r>
        <w:rPr>
          <w:rFonts w:hint="eastAsia" w:cs="Times New Roman"/>
          <w:lang w:val="en-US" w:eastAsia="zh-CN"/>
        </w:rPr>
        <w:t>系统功能</w:t>
      </w:r>
    </w:p>
    <w:p w14:paraId="1423BFA0">
      <w:pPr>
        <w:ind w:firstLine="480" w:firstLineChars="200"/>
        <w:rPr>
          <w:rFonts w:hint="default" w:eastAsia="宋体" w:cs="Times New Roman"/>
          <w:lang w:val="en-US" w:eastAsia="zh-CN"/>
        </w:rPr>
      </w:pPr>
      <w:r>
        <w:rPr>
          <w:rFonts w:cs="Times New Roman"/>
        </w:rPr>
        <w:t>——第5</w:t>
      </w:r>
      <w:r>
        <w:rPr>
          <w:rFonts w:hint="eastAsia" w:cs="Times New Roman"/>
          <w:lang w:val="en-US" w:eastAsia="zh-CN"/>
        </w:rPr>
        <w:t>章</w:t>
      </w:r>
      <w:r>
        <w:rPr>
          <w:rFonts w:cs="Times New Roman"/>
        </w:rPr>
        <w:t>：</w:t>
      </w:r>
      <w:r>
        <w:rPr>
          <w:rFonts w:hint="eastAsia" w:cs="Times New Roman"/>
          <w:lang w:val="en-US" w:eastAsia="zh-CN"/>
        </w:rPr>
        <w:t>系统范围</w:t>
      </w:r>
    </w:p>
    <w:p w14:paraId="2B9DB54C">
      <w:pPr>
        <w:ind w:firstLine="480" w:firstLineChars="200"/>
        <w:rPr>
          <w:rFonts w:hint="default" w:eastAsia="宋体" w:cs="Times New Roman"/>
          <w:lang w:val="en-US" w:eastAsia="zh-CN"/>
        </w:rPr>
      </w:pPr>
      <w:r>
        <w:rPr>
          <w:rFonts w:cs="Times New Roman"/>
        </w:rPr>
        <w:t>——第6</w:t>
      </w:r>
      <w:r>
        <w:rPr>
          <w:rFonts w:hint="eastAsia" w:cs="Times New Roman"/>
          <w:lang w:val="en-US" w:eastAsia="zh-CN"/>
        </w:rPr>
        <w:t>章</w:t>
      </w:r>
      <w:r>
        <w:rPr>
          <w:rFonts w:cs="Times New Roman"/>
        </w:rPr>
        <w:t>：</w:t>
      </w:r>
      <w:r>
        <w:rPr>
          <w:rFonts w:hint="eastAsia" w:cs="Times New Roman"/>
          <w:lang w:val="en-US" w:eastAsia="zh-CN"/>
        </w:rPr>
        <w:t>系统性能要求</w:t>
      </w:r>
    </w:p>
    <w:p w14:paraId="724D35BE">
      <w:pPr>
        <w:ind w:firstLine="480" w:firstLineChars="200"/>
        <w:rPr>
          <w:rFonts w:hint="eastAsia" w:cs="Times New Roman"/>
          <w:lang w:val="en-US" w:eastAsia="zh-CN"/>
        </w:rPr>
      </w:pPr>
      <w:r>
        <w:rPr>
          <w:rFonts w:cs="Times New Roman"/>
        </w:rPr>
        <w:t>——第7</w:t>
      </w:r>
      <w:r>
        <w:rPr>
          <w:rFonts w:hint="eastAsia" w:cs="Times New Roman"/>
          <w:lang w:val="en-US" w:eastAsia="zh-CN"/>
        </w:rPr>
        <w:t>章</w:t>
      </w:r>
      <w:r>
        <w:rPr>
          <w:rFonts w:cs="Times New Roman"/>
        </w:rPr>
        <w:t>：</w:t>
      </w:r>
      <w:r>
        <w:rPr>
          <w:rFonts w:hint="eastAsia" w:cs="Times New Roman"/>
          <w:lang w:val="en-US" w:eastAsia="zh-CN"/>
        </w:rPr>
        <w:t>设计要求</w:t>
      </w:r>
    </w:p>
    <w:p w14:paraId="3F0782A5">
      <w:pPr>
        <w:ind w:firstLine="480" w:firstLineChars="200"/>
        <w:rPr>
          <w:rFonts w:hint="default" w:cs="Times New Roman"/>
          <w:lang w:val="en-US" w:eastAsia="zh-CN"/>
        </w:rPr>
      </w:pPr>
      <w:r>
        <w:rPr>
          <w:rFonts w:hint="default" w:cs="Times New Roman"/>
          <w:lang w:val="en-US" w:eastAsia="zh-CN"/>
        </w:rPr>
        <w:t>基于本系列标准编制的总体目标，标准编制过程主要调研核电厂设计中</w:t>
      </w:r>
      <w:r>
        <w:rPr>
          <w:rFonts w:hint="eastAsia" w:cs="Times New Roman"/>
          <w:lang w:val="en-US" w:eastAsia="zh-CN"/>
        </w:rPr>
        <w:t>安全壳抑压功能的实现过程，并结合考虑海洋浮动核动力平台的特点。</w:t>
      </w:r>
      <w:r>
        <w:rPr>
          <w:rFonts w:hint="default" w:cs="Times New Roman"/>
          <w:lang w:val="en-US" w:eastAsia="zh-CN"/>
        </w:rPr>
        <w:t>本文件规定</w:t>
      </w:r>
      <w:r>
        <w:rPr>
          <w:rFonts w:hint="eastAsia" w:cs="Times New Roman"/>
          <w:lang w:val="en-US" w:eastAsia="zh-CN"/>
        </w:rPr>
        <w:t>了</w:t>
      </w:r>
      <w:r>
        <w:rPr>
          <w:rFonts w:hint="default" w:cs="Times New Roman"/>
          <w:lang w:val="en-US" w:eastAsia="zh-CN"/>
        </w:rPr>
        <w:t>海洋核动力平台安全壳抑压系统设计、分析和验证的相关要求</w:t>
      </w:r>
      <w:r>
        <w:rPr>
          <w:rFonts w:hint="eastAsia" w:cs="Times New Roman"/>
          <w:lang w:val="en-US" w:eastAsia="zh-CN"/>
        </w:rPr>
        <w:t>，</w:t>
      </w:r>
      <w:r>
        <w:rPr>
          <w:rFonts w:hint="default" w:cs="Times New Roman"/>
          <w:lang w:val="en-US" w:eastAsia="zh-CN"/>
        </w:rPr>
        <w:t>采用水作为热阱进行安全壳抑压的机组均可参照使用。</w:t>
      </w:r>
    </w:p>
    <w:p w14:paraId="025751F4">
      <w:pPr>
        <w:rPr>
          <w:b/>
        </w:rPr>
      </w:pPr>
      <w:r>
        <w:rPr>
          <w:rFonts w:hint="eastAsia"/>
          <w:b/>
        </w:rPr>
        <w:t>3、解决的主要问题</w:t>
      </w:r>
    </w:p>
    <w:p w14:paraId="298F168E">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rPr>
      </w:pPr>
      <w:r>
        <w:rPr>
          <w:rFonts w:hint="eastAsia"/>
        </w:rPr>
        <w:t>海洋核动力平台作为一种高效、清洁且可持续的能源技术，在未来发展潜力巨大，尤其在深远海资源开发和蓝色经济领域具有重要地位。随着全球能源需求的增长和对低碳清洁能源的迫切追求，海洋核动力平台将为远洋油气开采、深海矿产资源开发以及海上可再生能源设施（如漂浮式风电场）提供稳定的电力支持。此外，其灵活部署的特点使其成为应对气候变化和推动能源转型的重要力量。</w:t>
      </w:r>
    </w:p>
    <w:p w14:paraId="48B3A3C1">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rPr>
        <w:t>在海洋核动力平台的实际应用中，安全性始终是核心问题之一</w:t>
      </w:r>
      <w:r>
        <w:rPr>
          <w:rFonts w:hint="eastAsia"/>
          <w:lang w:eastAsia="zh-CN"/>
        </w:rPr>
        <w:t>，</w:t>
      </w:r>
      <w:r>
        <w:rPr>
          <w:rFonts w:hint="eastAsia"/>
        </w:rPr>
        <w:t>其中安全壳</w:t>
      </w:r>
      <w:r>
        <w:rPr>
          <w:rFonts w:hint="eastAsia"/>
          <w:lang w:val="en-US" w:eastAsia="zh-CN"/>
        </w:rPr>
        <w:t>作为最后一道屏障其完整性</w:t>
      </w:r>
      <w:r>
        <w:rPr>
          <w:rFonts w:hint="eastAsia"/>
        </w:rPr>
        <w:t>至关重要。在核反应堆运行过程中，如果发生事故或异常情况，安全壳能够通过热阱将系统产生的热量导出，从而有效降低安全壳内的压力。这一功能不仅能够防止因压力过高而导致的安全壳破裂，还能最大限度地减少放射性物质泄漏的风险，保障周边环境和人员的安全。</w:t>
      </w:r>
      <w:r>
        <w:rPr>
          <w:rFonts w:hint="eastAsia"/>
          <w:lang w:val="en-US" w:eastAsia="zh-CN"/>
        </w:rPr>
        <w:t>当前，陆上堆抑压功能的实现已具备成熟技术，由于陆上压水堆安全壳空间充足，供电设施完善，堆内热量可及时通过设备冷却水系统和额外冷却水系统导出。对于浮动核动力平台而言，布置空间紧凑，若电源长期失效冷却不及时，需采取非能动措施并充分利用水热阱的显热和汽化潜热。目前国内缺乏针对堆船结合的海洋核动力平台安全壳抑压功能的设计准则，亟须制定适用于浮动核动力平台的安全壳抑压系统设计准则。</w:t>
      </w:r>
    </w:p>
    <w:p w14:paraId="27F5E165">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rPr>
      </w:pPr>
      <w:r>
        <w:rPr>
          <w:rFonts w:hint="eastAsia"/>
          <w:lang w:val="en-US" w:eastAsia="zh-CN"/>
        </w:rPr>
        <w:t>本标准结合核电安全壳抑压功能现有实践经验，考虑海洋工况影响，参照HAFJ0006和GB/T 13626-2021，充分考虑能动与非能动单一故障，从核电安全系统功能、系统性能、设备设计、电气仪控、布置和试验维修等角度阐明海洋核动力平台安全壳抑压系统设计要求，为海洋核动力平台安全壳抑压设计提供指导，保障核安全。</w:t>
      </w:r>
    </w:p>
    <w:p w14:paraId="0A75D715">
      <w:pPr>
        <w:outlineLvl w:val="0"/>
        <w:rPr>
          <w:b/>
          <w:sz w:val="28"/>
          <w:szCs w:val="28"/>
        </w:rPr>
      </w:pPr>
      <w:r>
        <w:rPr>
          <w:rFonts w:hint="eastAsia"/>
          <w:b/>
          <w:sz w:val="28"/>
          <w:szCs w:val="28"/>
        </w:rPr>
        <w:t>三、主要试验（或验证）情况</w:t>
      </w:r>
    </w:p>
    <w:p w14:paraId="758A43D4">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抑压系统通过海上堆安全壳整体性能试验装置进行了验证。</w:t>
      </w:r>
    </w:p>
    <w:p w14:paraId="2CF6F50B">
      <w:pPr>
        <w:keepNext w:val="0"/>
        <w:keepLines w:val="0"/>
        <w:pageBreakBefore w:val="0"/>
        <w:widowControl/>
        <w:kinsoku/>
        <w:wordWrap/>
        <w:overflowPunct/>
        <w:topLinePunct w:val="0"/>
        <w:autoSpaceDE/>
        <w:autoSpaceDN/>
        <w:bidi w:val="0"/>
        <w:adjustRightInd/>
        <w:snapToGrid/>
        <w:ind w:firstLine="482" w:firstLineChars="200"/>
        <w:textAlignment w:val="auto"/>
        <w:rPr>
          <w:rFonts w:hint="eastAsia"/>
          <w:b/>
          <w:bCs/>
          <w:lang w:val="en-US" w:eastAsia="zh-CN"/>
        </w:rPr>
      </w:pPr>
      <w:r>
        <w:rPr>
          <w:rFonts w:hint="eastAsia"/>
          <w:b/>
          <w:bCs/>
          <w:lang w:val="en-US" w:eastAsia="zh-CN"/>
        </w:rPr>
        <w:t>1. 试验装置简介</w:t>
      </w:r>
    </w:p>
    <w:p w14:paraId="066363D6">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b w:val="0"/>
          <w:bCs w:val="0"/>
          <w:lang w:val="en-US" w:eastAsia="zh-CN"/>
        </w:rPr>
      </w:pPr>
      <w:r>
        <w:rPr>
          <w:rFonts w:hint="eastAsia"/>
          <w:b w:val="0"/>
          <w:bCs w:val="0"/>
          <w:lang w:val="en-US" w:eastAsia="zh-CN"/>
        </w:rPr>
        <w:t>设计基准事故发生后，安全壳抑压系统需在短时间内快速抑制壳内压力与温度升高，防止压力超过设计限值，并将其维持在可接受范围。试验装置的核心组成包括：安全壳模拟体、抑压池模拟体、抑压管、压力释放阀、预热器、喷放模拟体及阀门管道等辅助部件，各核心单元的设计逻辑如下：</w:t>
      </w:r>
    </w:p>
    <w:p w14:paraId="0F6B33C0">
      <w:pPr>
        <w:keepNext w:val="0"/>
        <w:keepLines w:val="0"/>
        <w:pageBreakBefore w:val="0"/>
        <w:widowControl/>
        <w:kinsoku/>
        <w:wordWrap/>
        <w:overflowPunct/>
        <w:topLinePunct w:val="0"/>
        <w:autoSpaceDE/>
        <w:autoSpaceDN/>
        <w:bidi w:val="0"/>
        <w:adjustRightInd/>
        <w:snapToGrid/>
        <w:ind w:firstLine="482" w:firstLineChars="200"/>
        <w:textAlignment w:val="auto"/>
        <w:rPr>
          <w:rFonts w:hint="eastAsia"/>
          <w:b w:val="0"/>
          <w:bCs w:val="0"/>
          <w:lang w:val="en-US" w:eastAsia="zh-CN"/>
        </w:rPr>
      </w:pPr>
      <w:r>
        <w:rPr>
          <w:rFonts w:hint="eastAsia"/>
          <w:b/>
          <w:bCs/>
          <w:lang w:val="en-US" w:eastAsia="zh-CN"/>
        </w:rPr>
        <w:t>抑压水池模拟体：</w:t>
      </w:r>
      <w:r>
        <w:rPr>
          <w:rFonts w:hint="eastAsia"/>
          <w:b w:val="0"/>
          <w:bCs w:val="0"/>
          <w:lang w:val="en-US" w:eastAsia="zh-CN"/>
        </w:rPr>
        <w:t>用于模拟原型抑压水池，考虑加工可行性与技术难度，按原型比例进行模化设计并简化结构，布置于安全壳模拟体正下方，分为气空间与水空间两部分；其气空间内设置连通腔（模拟原型主设备腔内嵌的自由空间），连通腔顶部设连通孔（模拟原型屏蔽罩顶面自由连通面积）、底部与水空间顶面平齐且通过抑压管连通，腔内同时配置抑压管进气管口、喷放喷嘴、蒸汽喷嘴及相关管线；水空间内设置电加热器与冷却盘管，用于试验过程中调节水温。</w:t>
      </w:r>
    </w:p>
    <w:p w14:paraId="465711F7">
      <w:pPr>
        <w:keepNext w:val="0"/>
        <w:keepLines w:val="0"/>
        <w:pageBreakBefore w:val="0"/>
        <w:widowControl/>
        <w:kinsoku/>
        <w:wordWrap/>
        <w:overflowPunct/>
        <w:topLinePunct w:val="0"/>
        <w:autoSpaceDE/>
        <w:autoSpaceDN/>
        <w:bidi w:val="0"/>
        <w:adjustRightInd/>
        <w:snapToGrid/>
        <w:ind w:firstLine="482" w:firstLineChars="200"/>
        <w:textAlignment w:val="auto"/>
        <w:rPr>
          <w:rFonts w:hint="eastAsia"/>
          <w:b w:val="0"/>
          <w:bCs w:val="0"/>
          <w:lang w:val="en-US" w:eastAsia="zh-CN"/>
        </w:rPr>
      </w:pPr>
      <w:r>
        <w:rPr>
          <w:rFonts w:hint="eastAsia"/>
          <w:b/>
          <w:bCs/>
          <w:lang w:val="en-US" w:eastAsia="zh-CN"/>
        </w:rPr>
        <w:t>喷放模拟体：</w:t>
      </w:r>
      <w:r>
        <w:rPr>
          <w:rFonts w:hint="eastAsia"/>
          <w:b w:val="0"/>
          <w:bCs w:val="0"/>
          <w:lang w:val="en-US" w:eastAsia="zh-CN"/>
        </w:rPr>
        <w:t>用于模拟原型失水事故初始阶段一回路向反应堆舱的大流量高瞬态质能释放，分为气空间与水空间，水空间内配置交流电加热器及加热控制系统，实现工质蓄能。</w:t>
      </w:r>
    </w:p>
    <w:p w14:paraId="180ADC23">
      <w:pPr>
        <w:keepNext w:val="0"/>
        <w:keepLines w:val="0"/>
        <w:pageBreakBefore w:val="0"/>
        <w:widowControl/>
        <w:kinsoku/>
        <w:wordWrap/>
        <w:overflowPunct/>
        <w:topLinePunct w:val="0"/>
        <w:autoSpaceDE/>
        <w:autoSpaceDN/>
        <w:bidi w:val="0"/>
        <w:adjustRightInd/>
        <w:snapToGrid/>
        <w:ind w:firstLine="482" w:firstLineChars="200"/>
        <w:textAlignment w:val="auto"/>
        <w:rPr>
          <w:rFonts w:hint="eastAsia"/>
          <w:b w:val="0"/>
          <w:bCs w:val="0"/>
          <w:lang w:val="en-US" w:eastAsia="zh-CN"/>
        </w:rPr>
      </w:pPr>
      <w:r>
        <w:rPr>
          <w:rFonts w:hint="eastAsia"/>
          <w:b/>
          <w:bCs/>
          <w:lang w:val="en-US" w:eastAsia="zh-CN"/>
        </w:rPr>
        <w:t>预热器：</w:t>
      </w:r>
      <w:r>
        <w:rPr>
          <w:rFonts w:hint="eastAsia"/>
          <w:b w:val="0"/>
          <w:bCs w:val="0"/>
          <w:lang w:val="en-US" w:eastAsia="zh-CN"/>
        </w:rPr>
        <w:t>采用直流电加热方式（以实验室直流大电源为加热电源），用于提供平缓质能释放阶段的高压蒸汽；试验中通过调节加热功率与蒸汽管线上电动调节阀的开度，实现蒸汽注入量的精准控制，调试阶段已通过蒸汽注入试验确定不同蒸汽流量下电动调节阀的对应开度。</w:t>
      </w:r>
    </w:p>
    <w:p w14:paraId="27278D00">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b w:val="0"/>
          <w:bCs w:val="0"/>
          <w:lang w:val="en-US" w:eastAsia="zh-CN"/>
        </w:rPr>
      </w:pPr>
      <w:r>
        <w:rPr>
          <w:rFonts w:hint="eastAsia"/>
          <w:b w:val="0"/>
          <w:bCs w:val="0"/>
          <w:lang w:val="en-US" w:eastAsia="zh-CN"/>
        </w:rPr>
        <w:t>通过该试验装置，可研究抑压系统在特定事故工况下的物理现象与热工水力参数瞬态响应特性，验证设计方案与程序模拟的合理性，为系统设计优化、程序模拟改进提供试验依据与数据输入。</w:t>
      </w:r>
    </w:p>
    <w:p w14:paraId="6B703D06">
      <w:pPr>
        <w:keepNext w:val="0"/>
        <w:keepLines w:val="0"/>
        <w:pageBreakBefore w:val="0"/>
        <w:widowControl/>
        <w:kinsoku/>
        <w:wordWrap/>
        <w:overflowPunct/>
        <w:topLinePunct w:val="0"/>
        <w:autoSpaceDE/>
        <w:autoSpaceDN/>
        <w:bidi w:val="0"/>
        <w:adjustRightInd/>
        <w:snapToGrid/>
        <w:ind w:firstLine="482" w:firstLineChars="200"/>
        <w:textAlignment w:val="auto"/>
        <w:rPr>
          <w:rFonts w:hint="eastAsia" w:eastAsia="宋体"/>
          <w:b/>
          <w:bCs/>
          <w:lang w:val="en-US" w:eastAsia="zh-CN"/>
        </w:rPr>
      </w:pPr>
      <w:r>
        <w:rPr>
          <w:rFonts w:hint="eastAsia"/>
          <w:b/>
          <w:bCs/>
          <w:lang w:val="en-US" w:eastAsia="zh-CN"/>
        </w:rPr>
        <w:t>试验过程：</w:t>
      </w:r>
    </w:p>
    <w:p w14:paraId="4663F46D">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rPr>
        <w:t>试验的工作介质为去离子水、水蒸气和空气。试验过程中，根据不同试验工况和阶段，启动质能释放系统后，安全壳模拟体内压力、温度升高，安全壳模拟体内的混合工质在压力差作用下通过抑压管进入抑压水池模拟体水空间，与抑压水池模拟体中的冷水发生直接接触冷凝，从而快速抑制安全壳模拟体内压力、温度升高。</w:t>
      </w:r>
      <w:r>
        <w:rPr>
          <w:rFonts w:hint="eastAsia"/>
          <w:lang w:val="en-US" w:eastAsia="zh-CN"/>
        </w:rPr>
        <w:t>试验采用</w:t>
      </w:r>
      <w:r>
        <w:rPr>
          <w:rFonts w:hint="eastAsia"/>
        </w:rPr>
        <w:t>喷放模拟体模拟原型失水事故工况中一回路向反应堆舱初始阶段的大流量高瞬态质能释放</w:t>
      </w:r>
      <w:r>
        <w:rPr>
          <w:rFonts w:hint="eastAsia"/>
          <w:lang w:eastAsia="zh-CN"/>
        </w:rPr>
        <w:t>，</w:t>
      </w:r>
      <w:r>
        <w:rPr>
          <w:rFonts w:hint="eastAsia"/>
          <w:lang w:val="en-US" w:eastAsia="zh-CN"/>
        </w:rPr>
        <w:t>采用</w:t>
      </w:r>
      <w:r>
        <w:rPr>
          <w:rFonts w:hint="eastAsia"/>
          <w:lang w:eastAsia="zh-CN"/>
        </w:rPr>
        <w:t>预热器和饱和水发生器结合使用，通过“高压蒸汽”结合“饱和水”注入，模拟原型失水事故工况中一回路向反应堆舱的平缓质能释放，</w:t>
      </w:r>
      <w:r>
        <w:rPr>
          <w:rFonts w:hint="eastAsia"/>
          <w:lang w:val="en-US" w:eastAsia="zh-CN"/>
        </w:rPr>
        <w:t>另外还包括空气注入系统和辅助回路系统。</w:t>
      </w:r>
    </w:p>
    <w:p w14:paraId="55288578">
      <w:pPr>
        <w:keepNext w:val="0"/>
        <w:keepLines w:val="0"/>
        <w:pageBreakBefore w:val="0"/>
        <w:widowControl/>
        <w:numPr>
          <w:ilvl w:val="0"/>
          <w:numId w:val="0"/>
        </w:numPr>
        <w:kinsoku/>
        <w:wordWrap/>
        <w:overflowPunct/>
        <w:topLinePunct w:val="0"/>
        <w:autoSpaceDE/>
        <w:autoSpaceDN/>
        <w:bidi w:val="0"/>
        <w:adjustRightInd/>
        <w:snapToGrid/>
        <w:ind w:leftChars="0" w:firstLine="482" w:firstLineChars="200"/>
        <w:textAlignment w:val="auto"/>
        <w:rPr>
          <w:rFonts w:hint="eastAsia"/>
          <w:b/>
          <w:bCs/>
          <w:lang w:val="en-US" w:eastAsia="zh-CN"/>
        </w:rPr>
      </w:pPr>
      <w:r>
        <w:rPr>
          <w:rFonts w:hint="eastAsia"/>
          <w:b/>
          <w:bCs/>
          <w:lang w:val="en-US" w:eastAsia="zh-CN"/>
        </w:rPr>
        <w:t>试验结果：</w:t>
      </w:r>
    </w:p>
    <w:p w14:paraId="4C1D0EA1">
      <w:pPr>
        <w:keepNext w:val="0"/>
        <w:keepLines w:val="0"/>
        <w:pageBreakBefore w:val="0"/>
        <w:widowControl/>
        <w:kinsoku/>
        <w:wordWrap/>
        <w:overflowPunct/>
        <w:topLinePunct w:val="0"/>
        <w:autoSpaceDE/>
        <w:autoSpaceDN/>
        <w:bidi w:val="0"/>
        <w:adjustRightInd/>
        <w:snapToGrid/>
        <w:ind w:firstLine="480" w:firstLineChars="200"/>
        <w:textAlignment w:val="auto"/>
        <w:outlineLvl w:val="0"/>
        <w:rPr>
          <w:rFonts w:hint="eastAsia"/>
          <w:lang w:val="en-US" w:eastAsia="zh-CN"/>
        </w:rPr>
      </w:pPr>
      <w:r>
        <w:rPr>
          <w:rFonts w:hint="eastAsia"/>
          <w:lang w:val="en-US" w:eastAsia="zh-CN"/>
        </w:rPr>
        <w:t>以水作为热容实现安全壳压力控制的方案，可有效适应海洋工况与紧凑布置的设计条件，满足抑压系统的性能要求。</w:t>
      </w:r>
    </w:p>
    <w:p w14:paraId="02BAD405">
      <w:pPr>
        <w:outlineLvl w:val="0"/>
        <w:rPr>
          <w:b/>
          <w:sz w:val="28"/>
          <w:szCs w:val="28"/>
        </w:rPr>
      </w:pPr>
      <w:r>
        <w:rPr>
          <w:rFonts w:hint="eastAsia"/>
          <w:b/>
          <w:sz w:val="28"/>
          <w:szCs w:val="28"/>
        </w:rPr>
        <w:t>四、标准中涉及专利的情况</w:t>
      </w:r>
    </w:p>
    <w:p w14:paraId="2163E001">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i w:val="0"/>
          <w:iCs/>
          <w:highlight w:val="none"/>
        </w:rPr>
      </w:pPr>
      <w:r>
        <w:rPr>
          <w:rFonts w:hint="eastAsia"/>
          <w:i w:val="0"/>
          <w:iCs/>
          <w:highlight w:val="none"/>
        </w:rPr>
        <w:t>本标准不涉及专利问题。</w:t>
      </w:r>
    </w:p>
    <w:p w14:paraId="7057D6DF">
      <w:pPr>
        <w:outlineLvl w:val="0"/>
        <w:rPr>
          <w:b/>
          <w:sz w:val="28"/>
          <w:szCs w:val="28"/>
        </w:rPr>
      </w:pPr>
      <w:r>
        <w:rPr>
          <w:rFonts w:hint="eastAsia"/>
          <w:b/>
          <w:sz w:val="28"/>
          <w:szCs w:val="28"/>
        </w:rPr>
        <w:t>五、预期达到的社会效益、对产业发展的作用等情况</w:t>
      </w:r>
    </w:p>
    <w:p w14:paraId="7BE6FA04">
      <w:pPr>
        <w:keepNext w:val="0"/>
        <w:keepLines w:val="0"/>
        <w:pageBreakBefore w:val="0"/>
        <w:widowControl/>
        <w:kinsoku/>
        <w:wordWrap/>
        <w:overflowPunct/>
        <w:topLinePunct w:val="0"/>
        <w:autoSpaceDE/>
        <w:autoSpaceDN/>
        <w:bidi w:val="0"/>
        <w:adjustRightInd/>
        <w:snapToGrid/>
        <w:ind w:firstLine="480" w:firstLineChars="200"/>
        <w:textAlignment w:val="auto"/>
        <w:outlineLvl w:val="0"/>
        <w:rPr>
          <w:rFonts w:hint="eastAsia"/>
        </w:rPr>
      </w:pPr>
      <w:r>
        <w:rPr>
          <w:rFonts w:hint="eastAsia"/>
        </w:rPr>
        <w:t>现行有效标准均无法完全适用于海洋核动力平台的特殊性，因此本标准的编制具有重要必要性：可为浮动核动力平台的设计与审查提供明确依据，填补国内浮动核动力平台安全壳抑压功能相关专设安全系统的标准空白，为海洋核动力平台的设计实践提供技术指导，推动行业技术规范化发展，保障海洋核动力技术的安全、有序应用。</w:t>
      </w:r>
    </w:p>
    <w:p w14:paraId="6BC1AE10">
      <w:pPr>
        <w:keepNext w:val="0"/>
        <w:keepLines w:val="0"/>
        <w:pageBreakBefore w:val="0"/>
        <w:widowControl/>
        <w:kinsoku/>
        <w:wordWrap/>
        <w:overflowPunct/>
        <w:topLinePunct w:val="0"/>
        <w:autoSpaceDE/>
        <w:autoSpaceDN/>
        <w:bidi w:val="0"/>
        <w:adjustRightInd/>
        <w:snapToGrid/>
        <w:textAlignment w:val="auto"/>
        <w:outlineLvl w:val="0"/>
        <w:rPr>
          <w:b/>
          <w:sz w:val="28"/>
          <w:szCs w:val="28"/>
        </w:rPr>
      </w:pPr>
      <w:r>
        <w:rPr>
          <w:rFonts w:hint="eastAsia"/>
          <w:b/>
          <w:sz w:val="28"/>
          <w:szCs w:val="28"/>
        </w:rPr>
        <w:t>六、与国际、国外对比情况</w:t>
      </w:r>
    </w:p>
    <w:p w14:paraId="34609098">
      <w:pPr>
        <w:keepNext w:val="0"/>
        <w:keepLines w:val="0"/>
        <w:pageBreakBefore w:val="0"/>
        <w:widowControl/>
        <w:kinsoku/>
        <w:wordWrap/>
        <w:overflowPunct/>
        <w:topLinePunct w:val="0"/>
        <w:autoSpaceDE/>
        <w:autoSpaceDN/>
        <w:bidi w:val="0"/>
        <w:adjustRightInd/>
        <w:snapToGrid/>
        <w:textAlignment w:val="auto"/>
        <w:rPr>
          <w:rFonts w:hint="default"/>
          <w:b/>
          <w:bCs/>
          <w:lang w:val="en-US" w:eastAsia="zh-CN"/>
        </w:rPr>
      </w:pPr>
      <w:bookmarkStart w:id="4" w:name="OLE_LINK1"/>
      <w:r>
        <w:rPr>
          <w:rFonts w:hint="eastAsia"/>
          <w:b/>
          <w:bCs/>
          <w:lang w:val="en-US" w:eastAsia="zh-CN"/>
        </w:rPr>
        <w:t>1.安全壳压力控制方式综述</w:t>
      </w:r>
    </w:p>
    <w:bookmarkEnd w:id="4"/>
    <w:p w14:paraId="3A9DB421">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国内外针对陆上核电厂压水堆专设安全系统的设计已有成熟标准，但此类标准未考虑海洋工况与紧凑布置条件，无法直接应用于浮动核动力平台。此外，国内 M310、华龙一号、AP1000 等陆上压水堆技术均采用全压干式安全壳方案，依赖大尺寸自由容积控制事故后峰值压力；而海上小型浮动堆采用水热容方案实现安全壳压力控制，目前国内尚无针对堆船结合特点的专项设计准则，亟须制定适配标准。</w:t>
      </w:r>
    </w:p>
    <w:p w14:paraId="6DFF0C62">
      <w:pPr>
        <w:keepNext w:val="0"/>
        <w:keepLines w:val="0"/>
        <w:pageBreakBefore w:val="0"/>
        <w:widowControl/>
        <w:kinsoku/>
        <w:wordWrap/>
        <w:overflowPunct/>
        <w:topLinePunct w:val="0"/>
        <w:autoSpaceDE/>
        <w:autoSpaceDN/>
        <w:bidi w:val="0"/>
        <w:adjustRightInd/>
        <w:snapToGrid/>
        <w:textAlignment w:val="auto"/>
        <w:rPr>
          <w:rFonts w:hint="eastAsia"/>
          <w:b/>
          <w:bCs/>
          <w:lang w:val="en-US" w:eastAsia="zh-CN"/>
        </w:rPr>
      </w:pPr>
      <w:r>
        <w:rPr>
          <w:rFonts w:hint="eastAsia"/>
          <w:b/>
          <w:bCs/>
          <w:lang w:val="en-US" w:eastAsia="zh-CN"/>
        </w:rPr>
        <w:t>2.沸水堆（BWR）的抑压系统设计</w:t>
      </w:r>
    </w:p>
    <w:p w14:paraId="00F0018F">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rPr>
      </w:pPr>
      <w:r>
        <w:rPr>
          <w:rFonts w:hint="eastAsia"/>
        </w:rPr>
        <w:t>与压水堆普遍采用的大型干式安全壳不同，大多数沸水堆（BWR）采用了</w:t>
      </w:r>
      <w:r>
        <w:rPr>
          <w:rFonts w:hint="eastAsia"/>
          <w:lang w:val="en-US" w:eastAsia="zh-CN"/>
        </w:rPr>
        <w:t>水作为热容控制压力</w:t>
      </w:r>
      <w:r>
        <w:rPr>
          <w:rFonts w:hint="eastAsia"/>
          <w:lang w:eastAsia="zh-CN"/>
        </w:rPr>
        <w:t>，</w:t>
      </w:r>
      <w:r>
        <w:rPr>
          <w:rFonts w:hint="eastAsia"/>
        </w:rPr>
        <w:t>BWR的抑压系统主要由干井和湿井两部分构成。干井</w:t>
      </w:r>
      <w:r>
        <w:rPr>
          <w:rFonts w:hint="eastAsia"/>
          <w:lang w:val="en-US" w:eastAsia="zh-CN"/>
        </w:rPr>
        <w:t>是</w:t>
      </w:r>
      <w:r>
        <w:rPr>
          <w:rFonts w:hint="eastAsia"/>
        </w:rPr>
        <w:t>包围着反应堆压力容器和主冷却剂系统管道的部分。湿井</w:t>
      </w:r>
      <w:r>
        <w:rPr>
          <w:rFonts w:hint="eastAsia"/>
          <w:lang w:val="en-US" w:eastAsia="zh-CN"/>
        </w:rPr>
        <w:t>是</w:t>
      </w:r>
      <w:r>
        <w:rPr>
          <w:rFonts w:hint="eastAsia"/>
        </w:rPr>
        <w:t>一个大型的环形或球形抑压水池，储存有大量的冷却水。在发生失水事故（LOCA）等情况时，干井内产生的高温高压蒸汽会通过</w:t>
      </w:r>
      <w:r>
        <w:rPr>
          <w:rFonts w:hint="eastAsia"/>
          <w:lang w:eastAsia="zh-CN"/>
        </w:rPr>
        <w:t>泄压管道</w:t>
      </w:r>
      <w:r>
        <w:rPr>
          <w:rFonts w:hint="eastAsia"/>
        </w:rPr>
        <w:t>被导入湿井的水中，蒸汽被迅速冷凝，从而有效抑制安全壳内的压力和温度上升。这个抑压水池同时也是应急堆芯冷却系统的长期水源，形成了一个闭合的再循环冷却回路。</w:t>
      </w:r>
    </w:p>
    <w:p w14:paraId="69A20DDC">
      <w:pPr>
        <w:keepNext w:val="0"/>
        <w:keepLines w:val="0"/>
        <w:pageBreakBefore w:val="0"/>
        <w:widowControl/>
        <w:kinsoku/>
        <w:wordWrap/>
        <w:overflowPunct/>
        <w:topLinePunct w:val="0"/>
        <w:autoSpaceDE/>
        <w:autoSpaceDN/>
        <w:bidi w:val="0"/>
        <w:adjustRightInd/>
        <w:snapToGrid/>
        <w:textAlignment w:val="auto"/>
        <w:rPr>
          <w:rFonts w:hint="eastAsia"/>
          <w:b/>
          <w:bCs/>
        </w:rPr>
      </w:pPr>
      <w:r>
        <w:rPr>
          <w:rFonts w:hint="eastAsia"/>
          <w:lang w:val="en-US" w:eastAsia="zh-CN"/>
        </w:rPr>
        <w:t>3.</w:t>
      </w:r>
      <w:r>
        <w:rPr>
          <w:rFonts w:hint="eastAsia"/>
          <w:b/>
          <w:bCs/>
        </w:rPr>
        <w:t>俄罗斯VVER反应堆及浮动堆的抑压系统设计</w:t>
      </w:r>
    </w:p>
    <w:p w14:paraId="2C136BA5">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rPr>
      </w:pPr>
      <w:r>
        <w:rPr>
          <w:rFonts w:hint="eastAsia"/>
        </w:rPr>
        <w:t>芬兰洛维萨（Loviisa）核电站的 VVER 反应堆配备了独特的 “冰凝器（Ice Condenser）” 抑压系统，可在事故时快速吸收蒸汽、降低安全壳压力 —— 这一案例表明，即使是压水堆，也可采用非干式安全壳的抑压方案。</w:t>
      </w:r>
    </w:p>
    <w:p w14:paraId="004C716A">
      <w:pPr>
        <w:keepNext w:val="0"/>
        <w:keepLines w:val="0"/>
        <w:pageBreakBefore w:val="0"/>
        <w:widowControl/>
        <w:kinsoku/>
        <w:wordWrap/>
        <w:overflowPunct/>
        <w:topLinePunct w:val="0"/>
        <w:autoSpaceDE/>
        <w:autoSpaceDN/>
        <w:bidi w:val="0"/>
        <w:adjustRightInd/>
        <w:snapToGrid/>
        <w:ind w:firstLine="480" w:firstLineChars="200"/>
        <w:textAlignment w:val="auto"/>
        <w:outlineLvl w:val="0"/>
        <w:rPr>
          <w:b/>
          <w:sz w:val="28"/>
          <w:szCs w:val="28"/>
        </w:rPr>
      </w:pPr>
      <w:r>
        <w:rPr>
          <w:rFonts w:hint="eastAsia"/>
        </w:rPr>
        <w:t>俄罗斯拥有全球首座浮动核电站 “罗蒙诺索夫院士” 号，其相关规范具有参考价值：俄罗斯联邦 《关于核反应堆船舶及其他浮动设施的核安全规定》（NP-029-17）</w:t>
      </w:r>
      <w:r>
        <w:rPr>
          <w:rFonts w:hint="eastAsia"/>
          <w:lang w:eastAsia="zh-CN"/>
        </w:rPr>
        <w:t>、</w:t>
      </w:r>
      <w:r>
        <w:rPr>
          <w:rFonts w:hint="eastAsia"/>
        </w:rPr>
        <w:t>俄罗斯船级社《核动力船舶和浮动设施入级和建造规范》（2-020101-112-E）。</w:t>
      </w:r>
    </w:p>
    <w:p w14:paraId="7CBC0E6C">
      <w:pPr>
        <w:numPr>
          <w:ilvl w:val="0"/>
          <w:numId w:val="0"/>
        </w:numPr>
        <w:ind w:leftChars="0"/>
        <w:outlineLvl w:val="0"/>
        <w:rPr>
          <w:b/>
          <w:sz w:val="28"/>
          <w:szCs w:val="28"/>
        </w:rPr>
      </w:pPr>
      <w:r>
        <w:rPr>
          <w:rFonts w:hint="eastAsia"/>
          <w:b/>
          <w:sz w:val="28"/>
          <w:szCs w:val="28"/>
        </w:rPr>
        <w:t>七、在标准体系中的位置，与现行相关法律、法规、规章及标准，特别是强制性标准的协调性</w:t>
      </w:r>
    </w:p>
    <w:p w14:paraId="2EBE854C">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i w:val="0"/>
          <w:iCs/>
        </w:rPr>
      </w:pPr>
      <w:r>
        <w:rPr>
          <w:rFonts w:hint="eastAsia"/>
          <w:i w:val="0"/>
          <w:iCs/>
        </w:rPr>
        <w:t>本标准与现行相关法律、法规、规章及相关标准协调一致。</w:t>
      </w:r>
    </w:p>
    <w:p w14:paraId="40B82C68">
      <w:pPr>
        <w:outlineLvl w:val="0"/>
        <w:rPr>
          <w:b/>
          <w:sz w:val="28"/>
          <w:szCs w:val="28"/>
        </w:rPr>
      </w:pPr>
      <w:r>
        <w:rPr>
          <w:rFonts w:hint="eastAsia"/>
          <w:b/>
          <w:sz w:val="28"/>
          <w:szCs w:val="28"/>
        </w:rPr>
        <w:t>八、重大分歧意见的处理经过和依据</w:t>
      </w:r>
    </w:p>
    <w:p w14:paraId="72149327">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rPr>
      </w:pPr>
      <w:r>
        <w:rPr>
          <w:rFonts w:hint="eastAsia"/>
          <w:i w:val="0"/>
          <w:iCs/>
        </w:rPr>
        <w:t>无。</w:t>
      </w:r>
    </w:p>
    <w:p w14:paraId="27631662">
      <w:pPr>
        <w:outlineLvl w:val="0"/>
        <w:rPr>
          <w:b/>
          <w:sz w:val="28"/>
          <w:szCs w:val="28"/>
        </w:rPr>
      </w:pPr>
      <w:r>
        <w:rPr>
          <w:rFonts w:hint="eastAsia"/>
          <w:b/>
          <w:sz w:val="28"/>
          <w:szCs w:val="28"/>
        </w:rPr>
        <w:t>九、标准性质的建议说明</w:t>
      </w:r>
    </w:p>
    <w:p w14:paraId="431299FD">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i/>
        </w:rPr>
      </w:pPr>
      <w:r>
        <w:rPr>
          <w:rFonts w:hint="eastAsia"/>
        </w:rPr>
        <w:t>建议本标准的性质为团体标准。</w:t>
      </w:r>
    </w:p>
    <w:p w14:paraId="378F7C86">
      <w:pPr>
        <w:outlineLvl w:val="0"/>
        <w:rPr>
          <w:b/>
          <w:sz w:val="28"/>
          <w:szCs w:val="28"/>
        </w:rPr>
      </w:pPr>
      <w:r>
        <w:rPr>
          <w:rFonts w:hint="eastAsia"/>
          <w:b/>
          <w:sz w:val="28"/>
          <w:szCs w:val="28"/>
        </w:rPr>
        <w:t>十、贯彻标准的要求和措施建议</w:t>
      </w:r>
    </w:p>
    <w:p w14:paraId="38DF47C0">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i w:val="0"/>
          <w:iCs/>
        </w:rPr>
      </w:pPr>
      <w:r>
        <w:rPr>
          <w:rFonts w:hint="eastAsia"/>
          <w:i w:val="0"/>
          <w:iCs/>
        </w:rPr>
        <w:t>标准发布后，中广核研究院有限公司将配合中国核能行业协会组织行业召开标准宣贯会，开展培训活动，促进该标准更好</w:t>
      </w:r>
      <w:r>
        <w:rPr>
          <w:rFonts w:hint="eastAsia"/>
          <w:i w:val="0"/>
          <w:iCs/>
          <w:lang w:eastAsia="zh-CN"/>
        </w:rPr>
        <w:t>地</w:t>
      </w:r>
      <w:r>
        <w:rPr>
          <w:rFonts w:hint="eastAsia"/>
          <w:i w:val="0"/>
          <w:iCs/>
        </w:rPr>
        <w:t>贯彻实施。</w:t>
      </w:r>
    </w:p>
    <w:p w14:paraId="4CA84E5E">
      <w:pPr>
        <w:outlineLvl w:val="0"/>
        <w:rPr>
          <w:b/>
          <w:sz w:val="28"/>
          <w:szCs w:val="28"/>
        </w:rPr>
      </w:pPr>
      <w:r>
        <w:rPr>
          <w:rFonts w:hint="eastAsia"/>
          <w:b/>
          <w:sz w:val="28"/>
          <w:szCs w:val="28"/>
        </w:rPr>
        <w:t>十一、废止现行相关标准的建议</w:t>
      </w:r>
    </w:p>
    <w:p w14:paraId="620319D5">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i w:val="0"/>
          <w:iCs/>
        </w:rPr>
      </w:pPr>
      <w:r>
        <w:rPr>
          <w:rFonts w:hint="eastAsia"/>
          <w:i w:val="0"/>
          <w:iCs/>
        </w:rPr>
        <w:t>无。</w:t>
      </w:r>
    </w:p>
    <w:p w14:paraId="450B265F">
      <w:pPr>
        <w:outlineLvl w:val="0"/>
        <w:rPr>
          <w:b/>
          <w:sz w:val="28"/>
          <w:szCs w:val="28"/>
        </w:rPr>
      </w:pPr>
      <w:r>
        <w:rPr>
          <w:rFonts w:hint="eastAsia"/>
          <w:b/>
          <w:sz w:val="28"/>
          <w:szCs w:val="28"/>
        </w:rPr>
        <w:t>十二、其他应予说明的事项</w:t>
      </w:r>
    </w:p>
    <w:p w14:paraId="65C1C8FB">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eastAsia="宋体"/>
          <w:i/>
          <w:lang w:eastAsia="zh-CN"/>
        </w:rPr>
      </w:pPr>
      <w:r>
        <w:rPr>
          <w:rFonts w:hint="eastAsia"/>
          <w:i w:val="0"/>
          <w:iCs/>
        </w:rPr>
        <w:t>无</w:t>
      </w:r>
      <w:r>
        <w:rPr>
          <w:rFonts w:hint="eastAsia"/>
          <w:i w:val="0"/>
          <w:iCs/>
          <w:lang w:eastAsia="zh-CN"/>
        </w:rPr>
        <w:t>。</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B69FA5"/>
    <w:multiLevelType w:val="singleLevel"/>
    <w:tmpl w:val="6DB69FA5"/>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35"/>
    <w:rsid w:val="0004736B"/>
    <w:rsid w:val="000C204E"/>
    <w:rsid w:val="00132C00"/>
    <w:rsid w:val="00161CD2"/>
    <w:rsid w:val="0024244C"/>
    <w:rsid w:val="00285F39"/>
    <w:rsid w:val="002E1F35"/>
    <w:rsid w:val="004656F6"/>
    <w:rsid w:val="00520FE0"/>
    <w:rsid w:val="006633BA"/>
    <w:rsid w:val="006A6B56"/>
    <w:rsid w:val="006E0F94"/>
    <w:rsid w:val="0070047E"/>
    <w:rsid w:val="00764E9E"/>
    <w:rsid w:val="008F0708"/>
    <w:rsid w:val="00A33BF8"/>
    <w:rsid w:val="00A56356"/>
    <w:rsid w:val="00A740E0"/>
    <w:rsid w:val="00AB5F92"/>
    <w:rsid w:val="00AC1E52"/>
    <w:rsid w:val="00AE1F12"/>
    <w:rsid w:val="00B24A56"/>
    <w:rsid w:val="00C478E3"/>
    <w:rsid w:val="00CB603C"/>
    <w:rsid w:val="00DC29B1"/>
    <w:rsid w:val="00E0783F"/>
    <w:rsid w:val="00F60B7D"/>
    <w:rsid w:val="00FB6407"/>
    <w:rsid w:val="06FB68B7"/>
    <w:rsid w:val="100E6014"/>
    <w:rsid w:val="23BB24AA"/>
    <w:rsid w:val="25441710"/>
    <w:rsid w:val="2E830A29"/>
    <w:rsid w:val="3607684B"/>
    <w:rsid w:val="3ADE454C"/>
    <w:rsid w:val="3FE94F8F"/>
    <w:rsid w:val="412C5955"/>
    <w:rsid w:val="43E9109C"/>
    <w:rsid w:val="43F25C34"/>
    <w:rsid w:val="47664233"/>
    <w:rsid w:val="4B822307"/>
    <w:rsid w:val="53744B16"/>
    <w:rsid w:val="53C27071"/>
    <w:rsid w:val="563325F9"/>
    <w:rsid w:val="5B59604B"/>
    <w:rsid w:val="5C970D04"/>
    <w:rsid w:val="63C455CB"/>
    <w:rsid w:val="64526435"/>
    <w:rsid w:val="6950611A"/>
    <w:rsid w:val="6CC437D0"/>
    <w:rsid w:val="704D2CCC"/>
    <w:rsid w:val="70FF5B11"/>
    <w:rsid w:val="7289621F"/>
    <w:rsid w:val="78783F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pPr>
    <w:rPr>
      <w:rFonts w:ascii="宋体" w:hAnsi="宋体" w:eastAsia="宋体" w:cstheme="minorBidi"/>
      <w:kern w:val="2"/>
      <w:sz w:val="24"/>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4640</Words>
  <Characters>4899</Characters>
  <Lines>8</Lines>
  <Paragraphs>2</Paragraphs>
  <TotalTime>6</TotalTime>
  <ScaleCrop>false</ScaleCrop>
  <LinksUpToDate>false</LinksUpToDate>
  <CharactersWithSpaces>4944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2019-12-04T02:22:00Z</dcterms:created>
  <dc:creator>王炫</dc:creator>
  <cp:lastModifiedBy>周枝萍</cp:lastModifiedBy>
  <dcterms:modified xsi:type="dcterms:W3CDTF">2025-09-28T04:15:24Z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B3D1180B694B4F51A6ABBA875842DD04_13</vt:lpwstr>
  </property>
  <property fmtid="{D5CDD505-2E9C-101B-9397-08002B2CF9AE}" pid="4" name="KSOTemplateDocerSaveRecord">
    <vt:lpwstr>eyJoZGlkIjoiZmY5NzE5NmRhOTQyMTA2YWY3Yjk3N2IwYThkYjQ5YzgiLCJ1c2VySWQiOiIyODUyOTY0In0=</vt:lpwstr>
  </property>
</Properties>
</file>